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Poppins" w:cs="Poppins" w:eastAsia="Poppins" w:hAnsi="Poppins"/>
          <w:b/>
          <w:bCs/>
          <w:color w:val="1A4E5A"/>
          <w:sz w:val="20"/>
          <w:szCs w:val="20"/>
        </w:rPr>
        <w:t xml:space="preserve">GET </w:t>
      </w:r>
      <w:r>
        <w:rPr>
          <w:rFonts w:ascii="Poppins" w:cs="Poppins" w:eastAsia="Poppins" w:hAnsi="Poppins"/>
          <w:b/>
          <w:bCs/>
          <w:color w:val="F19A3E"/>
          <w:sz w:val="20"/>
          <w:szCs w:val="20"/>
        </w:rPr>
        <w:t xml:space="preserve">PHISHING </w:t>
      </w:r>
      <w:r>
        <w:rPr>
          <w:rFonts w:ascii="Poppins" w:cs="Poppins" w:eastAsia="Poppins" w:hAnsi="Poppins"/>
          <w:b/>
          <w:bCs/>
          <w:color w:val="1A4E5A"/>
          <w:sz w:val="20"/>
          <w:szCs w:val="20"/>
        </w:rPr>
        <w:t xml:space="preserve">UNDER </w:t>
      </w:r>
      <w:r>
        <w:rPr>
          <w:rFonts w:ascii="Poppins" w:cs="Poppins" w:eastAsia="Poppins" w:hAnsi="Poppins"/>
          <w:b/>
          <w:bCs/>
          <w:color w:val="A3D948"/>
          <w:sz w:val="20"/>
          <w:szCs w:val="20"/>
        </w:rPr>
        <w:t xml:space="preserve">CONTROL</w:t>
      </w:r>
      <w:r>
        <w:rPr>
          <w:rFonts w:ascii="Roboto Flex" w:cs="Roboto Flex" w:eastAsia="Roboto Flex" w:hAnsi="Roboto Flex"/>
          <w:color w:val="6B7280"/>
          <w:sz w:val="20"/>
          <w:szCs w:val="20"/>
        </w:rPr>
        <w:t xml:space="preserve">  ·  Programme template</w:t>
      </w:r>
    </w:p>
    <w:p>
      <w:pPr>
        <w:pBdr>
          <w:bottom w:val="single" w:color="A3D948" w:sz="12" w:space="4"/>
        </w:pBdr>
        <w:spacing w:after="80"/>
      </w:pPr>
      <w:r>
        <w:rPr>
          <w:rFonts w:ascii="Poppins" w:cs="Poppins" w:eastAsia="Poppins" w:hAnsi="Poppins"/>
          <w:b/>
          <w:bCs/>
          <w:color w:val="1A4E5A"/>
          <w:sz w:val="44"/>
          <w:szCs w:val="44"/>
        </w:rPr>
        <w:t xml:space="preserve">Security Awareness, Behaviour and Culture Policy — Outline</w:t>
      </w:r>
    </w:p>
    <w:p>
      <w:pPr>
        <w:spacing w:after="300"/>
      </w:pPr>
      <w:r>
        <w:rPr>
          <w:rFonts w:ascii="Roboto Flex" w:cs="Roboto Flex" w:eastAsia="Roboto Flex" w:hAnsi="Roboto Flex"/>
          <w:i/>
          <w:iCs/>
          <w:color w:val="6B7280"/>
          <w:sz w:val="22"/>
          <w:szCs w:val="22"/>
        </w:rPr>
        <w:t xml:space="preserve">Phishing exercises are one instrument in a larger programme. This outline situates them in a behaviour-change policy, so that the exercises are not mistaken for the strategy. Adapt the structure; the section headings matter more than the wording.</w:t>
      </w:r>
    </w:p>
    <w:p>
      <w:pPr>
        <w:pStyle w:val="Heading1"/>
        <w:spacing w:after="200" w:before="360"/>
      </w:pPr>
      <w:r>
        <w:rPr>
          <w:rFonts w:ascii="Poppins" w:cs="Poppins" w:eastAsia="Poppins" w:hAnsi="Poppins"/>
          <w:b/>
          <w:bCs/>
          <w:color w:val="1A4E5A"/>
          <w:sz w:val="32"/>
          <w:szCs w:val="32"/>
        </w:rPr>
        <w:t xml:space="preserve">1  Introduction and Principles</w:t>
      </w:r>
    </w:p>
    <w:p>
      <w:pPr>
        <w:spacing w:after="160" w:line="276"/>
      </w:pPr>
      <w:r>
        <w:rPr>
          <w:rFonts w:ascii="Roboto Flex" w:cs="Roboto Flex" w:eastAsia="Roboto Flex" w:hAnsi="Roboto Flex"/>
          <w:color w:val="1F2937"/>
          <w:sz w:val="22"/>
          <w:szCs w:val="22"/>
        </w:rPr>
        <w:t xml:space="preserve">Information security rests on people, process and technology. People are both the most valuable component and the most frequent target. This policy applies to everyone working for &lt;ORGANISATION&gt; and having access to its information assets — employees, contractors and third parties alike.</w:t>
      </w:r>
    </w:p>
    <w:p>
      <w:pPr>
        <w:spacing w:after="160" w:line="276"/>
      </w:pPr>
      <w:r>
        <w:rPr>
          <w:rFonts w:ascii="Roboto Flex" w:cs="Roboto Flex" w:eastAsia="Roboto Flex" w:hAnsi="Roboto Flex"/>
          <w:color w:val="1F2937"/>
          <w:sz w:val="22"/>
          <w:szCs w:val="22"/>
        </w:rPr>
        <w:t xml:space="preserve">Behaviour is the product of three factors: knowledge of the expected behaviour, self-perceived ability to perform it, and motivation to do so. Motivation is itself mediated by the perceived risk and the perceived effort involved. Because these factors interact, they must be addressed simultaneously:</w:t>
      </w:r>
    </w:p>
    <w:p>
      <w:pPr>
        <w:pStyle w:val="ListParagraph"/>
        <w:numPr>
          <w:ilvl w:val="0"/>
          <w:numId w:val="2"/>
        </w:numPr>
        <w:spacing w:after="100" w:line="276"/>
      </w:pPr>
      <w:r>
        <w:rPr>
          <w:rFonts w:ascii="Roboto Flex" w:cs="Roboto Flex" w:eastAsia="Roboto Flex" w:hAnsi="Roboto Flex"/>
          <w:color w:val="1F2937"/>
          <w:sz w:val="22"/>
          <w:szCs w:val="22"/>
        </w:rPr>
        <w:t xml:space="preserve">Awareness builds the knowledge needed to recognise a risk;</w:t>
      </w:r>
    </w:p>
    <w:p>
      <w:pPr>
        <w:pStyle w:val="ListParagraph"/>
        <w:numPr>
          <w:ilvl w:val="0"/>
          <w:numId w:val="2"/>
        </w:numPr>
        <w:spacing w:after="100" w:line="276"/>
      </w:pPr>
      <w:r>
        <w:rPr>
          <w:rFonts w:ascii="Roboto Flex" w:cs="Roboto Flex" w:eastAsia="Roboto Flex" w:hAnsi="Roboto Flex"/>
          <w:color w:val="1F2937"/>
          <w:sz w:val="22"/>
          <w:szCs w:val="22"/>
        </w:rPr>
        <w:t xml:space="preserve">Training builds the skill, improving the perceived ability to act;</w:t>
      </w:r>
    </w:p>
    <w:p>
      <w:pPr>
        <w:pStyle w:val="ListParagraph"/>
        <w:numPr>
          <w:ilvl w:val="0"/>
          <w:numId w:val="2"/>
        </w:numPr>
        <w:spacing w:after="100" w:line="276"/>
      </w:pPr>
      <w:r>
        <w:rPr>
          <w:rFonts w:ascii="Roboto Flex" w:cs="Roboto Flex" w:eastAsia="Roboto Flex" w:hAnsi="Roboto Flex"/>
          <w:color w:val="1F2937"/>
          <w:sz w:val="22"/>
          <w:szCs w:val="22"/>
        </w:rPr>
        <w:t xml:space="preserve">Usability reduces the effort a secure behaviour requires — often the single highest-leverage intervention, and the one most often neglected;</w:t>
      </w:r>
    </w:p>
    <w:p>
      <w:pPr>
        <w:pStyle w:val="ListParagraph"/>
        <w:numPr>
          <w:ilvl w:val="0"/>
          <w:numId w:val="2"/>
        </w:numPr>
        <w:spacing w:after="100" w:line="276"/>
      </w:pPr>
      <w:r>
        <w:rPr>
          <w:rFonts w:ascii="Roboto Flex" w:cs="Roboto Flex" w:eastAsia="Roboto Flex" w:hAnsi="Roboto Flex"/>
          <w:color w:val="1F2937"/>
          <w:sz w:val="22"/>
          <w:szCs w:val="22"/>
        </w:rPr>
        <w:t xml:space="preserve">Nudges increase motivation by making the secure behaviour easier, more appealing or more socially expected.</w:t>
      </w:r>
    </w:p>
    <w:p>
      <w:pPr>
        <w:spacing w:after="160" w:line="276"/>
      </w:pPr>
      <w:r>
        <w:rPr>
          <w:rFonts w:ascii="Roboto Flex" w:cs="Roboto Flex" w:eastAsia="Roboto Flex" w:hAnsi="Roboto Flex"/>
          <w:color w:val="1F2937"/>
          <w:sz w:val="22"/>
          <w:szCs w:val="22"/>
        </w:rPr>
        <w:t xml:space="preserve">Specific action is also needed to embed these behaviours in the organisation’s culture, without which improvements decay as soon as the campaign stops.</w:t>
      </w:r>
    </w:p>
    <w:p>
      <w:pPr>
        <w:pStyle w:val="Heading1"/>
        <w:spacing w:after="200" w:before="360"/>
      </w:pPr>
      <w:r>
        <w:rPr>
          <w:rFonts w:ascii="Poppins" w:cs="Poppins" w:eastAsia="Poppins" w:hAnsi="Poppins"/>
          <w:b/>
          <w:bCs/>
          <w:color w:val="1A4E5A"/>
          <w:sz w:val="32"/>
          <w:szCs w:val="32"/>
        </w:rPr>
        <w:t xml:space="preserve">2  The Lifecycle</w:t>
      </w:r>
    </w:p>
    <w:p>
      <w:pPr>
        <w:spacing w:after="160" w:line="276"/>
      </w:pPr>
      <w:r>
        <w:rPr>
          <w:rFonts w:ascii="Roboto Flex" w:cs="Roboto Flex" w:eastAsia="Roboto Flex" w:hAnsi="Roboto Flex"/>
          <w:color w:val="1F2937"/>
          <w:sz w:val="22"/>
          <w:szCs w:val="22"/>
        </w:rPr>
        <w:t xml:space="preserve">Following ENISA’s guidance that culture change must be implemented as a circular, ongoing process, the programme runs a five-stage cycle, completed at least once a year.</w:t>
      </w:r>
    </w:p>
    <w:tbl>
      <w:tblPr>
        <w:tblW w:type="dxa" w:w="9026"/>
        <w:tblBorders>
          <w:top w:val="single" w:color="467082" w:sz="6"/>
          <w:left w:val="single" w:color="467082" w:sz="6"/>
          <w:bottom w:val="single" w:color="467082" w:sz="6"/>
          <w:right w:val="single" w:color="467082" w:sz="6"/>
          <w:insideH w:val="single" w:color="C9D6DC" w:sz="4"/>
          <w:insideV w:val="single" w:color="C9D6DC" w:sz="4"/>
        </w:tblBorders>
      </w:tblPr>
      <w:tblGrid>
        <w:gridCol w:w="1800"/>
        <w:gridCol w:w="7226"/>
      </w:tblGrid>
      <w:tr>
        <w:trPr>
          <w:tblHeader/>
        </w:trPr>
        <w:tc>
          <w:tcPr>
            <w:tcW w:type="dxa" w:w="1800"/>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Stage</w:t>
            </w:r>
          </w:p>
        </w:tc>
        <w:tc>
          <w:tcPr>
            <w:tcW w:type="dxa" w:w="7226"/>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What happens</w:t>
            </w:r>
          </w:p>
        </w:tc>
      </w:tr>
      <w:tr>
        <w:trPr>
          <w:tblHeader w:val="false"/>
        </w:trPr>
        <w:tc>
          <w:tcPr>
            <w:tcW w:type="dxa" w:w="18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DEFINE</w:t>
            </w:r>
          </w:p>
        </w:tc>
        <w:tc>
          <w:tcPr>
            <w:tcW w:type="dxa" w:w="72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Set and prioritise objectives using identified risks: past incidents, threat intelligence, security test results, audit findings and key risk indicators. Maintain a list of human-related risks; for each, identify the group at risk, the expected behaviour, the blocking factors, the candidate actions, their cost and their expected return.</w:t>
            </w:r>
          </w:p>
        </w:tc>
      </w:tr>
      <w:tr>
        <w:trPr>
          <w:tblHeader w:val="false"/>
        </w:trPr>
        <w:tc>
          <w:tcPr>
            <w:tcW w:type="dxa" w:w="18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ANALYSE</w:t>
            </w:r>
          </w:p>
        </w:tc>
        <w:tc>
          <w:tcPr>
            <w:tcW w:type="dxa" w:w="72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Assess current knowledge, behaviour and attitude. Find the root causes of inadequate behaviour and identify blocking factors and opportunities, through surveys, spontaneous feedback, incident root-cause analysis and process analysis.</w:t>
            </w:r>
          </w:p>
        </w:tc>
      </w:tr>
      <w:tr>
        <w:trPr>
          <w:tblHeader w:val="false"/>
        </w:trPr>
        <w:tc>
          <w:tcPr>
            <w:tcW w:type="dxa" w:w="18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PLAN</w:t>
            </w:r>
          </w:p>
        </w:tc>
        <w:tc>
          <w:tcPr>
            <w:tcW w:type="dxa" w:w="72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Define the expected behaviours, the audiences, the priorities, the process or interface improvements required, the frequency of activities (education requires repetition), and the success criteria. Approved annually by &lt;CISO&gt; and &lt;SECURITY COMMITTEE&gt;.</w:t>
            </w:r>
          </w:p>
        </w:tc>
      </w:tr>
      <w:tr>
        <w:trPr>
          <w:tblHeader w:val="false"/>
        </w:trPr>
        <w:tc>
          <w:tcPr>
            <w:tcW w:type="dxa" w:w="18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IMPLEMENT</w:t>
            </w:r>
          </w:p>
        </w:tc>
        <w:tc>
          <w:tcPr>
            <w:tcW w:type="dxa" w:w="72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Deliver through training, events, communication, technical improvement, redesign and process simplification. Make improvements sustainable by embedding them in existing processes and policies.</w:t>
            </w:r>
          </w:p>
        </w:tc>
      </w:tr>
      <w:tr>
        <w:trPr>
          <w:tblHeader w:val="false"/>
        </w:trPr>
        <w:tc>
          <w:tcPr>
            <w:tcW w:type="dxa" w:w="18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EVALUATE</w:t>
            </w:r>
          </w:p>
        </w:tc>
        <w:tc>
          <w:tcPr>
            <w:tcW w:type="dxa" w:w="72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Assess both effectiveness (does it work) and efficiency (is this the most cost-effective way to achieve it). Feed the results into the next DEFINE stage.</w:t>
            </w:r>
          </w:p>
        </w:tc>
      </w:tr>
    </w:tbl>
    <w:p>
      <w:pPr>
        <w:spacing w:after="160" w:line="276"/>
      </w:pPr>
      <w:r>
        <w:rPr>
          <w:rFonts w:ascii="Roboto Flex" w:cs="Roboto Flex" w:eastAsia="Roboto Flex" w:hAnsi="Roboto Flex"/>
          <w:color w:val="1F2937"/>
          <w:sz w:val="22"/>
          <w:szCs w:val="22"/>
        </w:rPr>
        <w:t xml:space="preserve">A warning on the last stage. ENISA notes that most metrics in current practice are not suited to measuring human behaviour or to indicating how to influence it. Used carelessly, metrics invite the McNamara fallacy — deciding solely on what happens to be quantifiable — and the streetlight effect, searching where the light is rather than where the answer is. Combine quantitative measures with qualitative insight, and treat any single number with suspicion.</w:t>
      </w:r>
    </w:p>
    <w:p>
      <w:pPr>
        <w:pStyle w:val="Heading1"/>
        <w:spacing w:after="200" w:before="360"/>
      </w:pPr>
      <w:r>
        <w:rPr>
          <w:rFonts w:ascii="Poppins" w:cs="Poppins" w:eastAsia="Poppins" w:hAnsi="Poppins"/>
          <w:b/>
          <w:bCs/>
          <w:color w:val="1A4E5A"/>
          <w:sz w:val="32"/>
          <w:szCs w:val="32"/>
        </w:rPr>
        <w:t xml:space="preserve">3  Security Education</w:t>
      </w:r>
    </w:p>
    <w:p>
      <w:pPr>
        <w:spacing w:after="160" w:line="276"/>
      </w:pPr>
      <w:r>
        <w:rPr>
          <w:rFonts w:ascii="Roboto Flex" w:cs="Roboto Flex" w:eastAsia="Roboto Flex" w:hAnsi="Roboto Flex"/>
          <w:color w:val="1F2937"/>
          <w:sz w:val="22"/>
          <w:szCs w:val="22"/>
        </w:rPr>
        <w:t xml:space="preserve">For a given objective, content must be adapted to the audience’s existing knowledge, technical skill, role, culture and group; to the communication channel; to what has been used before for the same purpose; and to the feedback received on earlier material. Because repetition is essential to learning but breeds habituation, content must be refreshed regularly while a small number of key messages stay constant.</w:t>
      </w:r>
    </w:p>
    <w:p>
      <w:pPr>
        <w:spacing w:after="160" w:line="276"/>
      </w:pPr>
      <w:r>
        <w:rPr>
          <w:rFonts w:ascii="Roboto Flex" w:cs="Roboto Flex" w:eastAsia="Roboto Flex" w:hAnsi="Roboto Flex"/>
          <w:color w:val="1F2937"/>
          <w:sz w:val="22"/>
          <w:szCs w:val="22"/>
        </w:rPr>
        <w:t xml:space="preserve">Some knowledge and behaviour is basic enough to be required of everyone — as a driving licence is required before driving, and as vaccination works only above a coverage threshold. &lt;CISO&gt; decides which activities are mandatory, based on current risk. Where an activity is mandatory, its completion is an individual objective for each employee and a team objective for each manager.</w:t>
      </w:r>
    </w:p>
    <w:p>
      <w:pPr>
        <w:pStyle w:val="Heading1"/>
        <w:spacing w:after="200" w:before="360"/>
      </w:pPr>
      <w:r>
        <w:rPr>
          <w:rFonts w:ascii="Poppins" w:cs="Poppins" w:eastAsia="Poppins" w:hAnsi="Poppins"/>
          <w:b/>
          <w:bCs/>
          <w:color w:val="1A4E5A"/>
          <w:sz w:val="32"/>
          <w:szCs w:val="32"/>
        </w:rPr>
        <w:t xml:space="preserve">4  Communication Channels</w:t>
      </w:r>
    </w:p>
    <w:p>
      <w:pPr>
        <w:pStyle w:val="ListParagraph"/>
        <w:numPr>
          <w:ilvl w:val="0"/>
          <w:numId w:val="2"/>
        </w:numPr>
        <w:spacing w:after="100" w:line="276"/>
      </w:pPr>
      <w:r>
        <w:rPr>
          <w:rFonts w:ascii="Roboto Flex" w:cs="Roboto Flex" w:eastAsia="Roboto Flex" w:hAnsi="Roboto Flex"/>
          <w:color w:val="1F2937"/>
          <w:sz w:val="22"/>
          <w:szCs w:val="22"/>
        </w:rPr>
        <w:t xml:space="preserve">Human: face-to-face meetings, live training, coaching, mentoring, shadowing, advice.</w:t>
      </w:r>
    </w:p>
    <w:p>
      <w:pPr>
        <w:pStyle w:val="ListParagraph"/>
        <w:numPr>
          <w:ilvl w:val="0"/>
          <w:numId w:val="2"/>
        </w:numPr>
        <w:spacing w:after="100" w:line="276"/>
      </w:pPr>
      <w:r>
        <w:rPr>
          <w:rFonts w:ascii="Roboto Flex" w:cs="Roboto Flex" w:eastAsia="Roboto Flex" w:hAnsi="Roboto Flex"/>
          <w:color w:val="1F2937"/>
          <w:sz w:val="22"/>
          <w:szCs w:val="22"/>
        </w:rPr>
        <w:t xml:space="preserve">Electronic: email, computer-based training, intranet and collaboration platforms.</w:t>
      </w:r>
    </w:p>
    <w:p>
      <w:pPr>
        <w:pStyle w:val="ListParagraph"/>
        <w:numPr>
          <w:ilvl w:val="0"/>
          <w:numId w:val="2"/>
        </w:numPr>
        <w:spacing w:after="100" w:line="276"/>
      </w:pPr>
      <w:r>
        <w:rPr>
          <w:rFonts w:ascii="Roboto Flex" w:cs="Roboto Flex" w:eastAsia="Roboto Flex" w:hAnsi="Roboto Flex"/>
          <w:color w:val="1F2937"/>
          <w:sz w:val="22"/>
          <w:szCs w:val="22"/>
        </w:rPr>
        <w:t xml:space="preserve">Non-electronic: posters, events, campaigns, physical prompts at the point of behaviour.</w:t>
      </w:r>
    </w:p>
    <w:p>
      <w:pPr>
        <w:pStyle w:val="Heading1"/>
        <w:spacing w:after="200" w:before="360"/>
      </w:pPr>
      <w:r>
        <w:rPr>
          <w:rFonts w:ascii="Poppins" w:cs="Poppins" w:eastAsia="Poppins" w:hAnsi="Poppins"/>
          <w:b/>
          <w:bCs/>
          <w:color w:val="1A4E5A"/>
          <w:sz w:val="32"/>
          <w:szCs w:val="32"/>
        </w:rPr>
        <w:t xml:space="preserve">5  Target Groups</w:t>
      </w:r>
    </w:p>
    <w:p>
      <w:pPr>
        <w:spacing w:after="160" w:line="276"/>
      </w:pPr>
      <w:r>
        <w:rPr>
          <w:rFonts w:ascii="Roboto Flex" w:cs="Roboto Flex" w:eastAsia="Roboto Flex" w:hAnsi="Roboto Flex"/>
          <w:color w:val="1F2937"/>
          <w:sz w:val="22"/>
          <w:szCs w:val="22"/>
        </w:rPr>
        <w:t xml:space="preserve">Not every role requires the same knowledge or the same behaviour. Activities are tailored to the following groups, which may be extended:</w:t>
      </w:r>
    </w:p>
    <w:p>
      <w:pPr>
        <w:pStyle w:val="ListParagraph"/>
        <w:numPr>
          <w:ilvl w:val="0"/>
          <w:numId w:val="2"/>
        </w:numPr>
        <w:spacing w:after="100" w:line="276"/>
      </w:pPr>
      <w:r>
        <w:rPr>
          <w:rFonts w:ascii="Roboto Flex" w:cs="Roboto Flex" w:eastAsia="Roboto Flex" w:hAnsi="Roboto Flex"/>
          <w:color w:val="1F2937"/>
          <w:sz w:val="22"/>
          <w:szCs w:val="22"/>
        </w:rPr>
        <w:t xml:space="preserve">All personnel — all employees, contractors and newcomers.</w:t>
      </w:r>
    </w:p>
    <w:p>
      <w:pPr>
        <w:pStyle w:val="ListParagraph"/>
        <w:numPr>
          <w:ilvl w:val="0"/>
          <w:numId w:val="2"/>
        </w:numPr>
        <w:spacing w:after="100" w:line="276"/>
      </w:pPr>
      <w:r>
        <w:rPr>
          <w:rFonts w:ascii="Roboto Flex" w:cs="Roboto Flex" w:eastAsia="Roboto Flex" w:hAnsi="Roboto Flex"/>
          <w:color w:val="1F2937"/>
          <w:sz w:val="22"/>
          <w:szCs w:val="22"/>
        </w:rPr>
        <w:t xml:space="preserve">High-risk profiles — holders of privileged access or roles more likely to be targeted.</w:t>
      </w:r>
    </w:p>
    <w:p>
      <w:pPr>
        <w:pStyle w:val="ListParagraph"/>
        <w:numPr>
          <w:ilvl w:val="0"/>
          <w:numId w:val="2"/>
        </w:numPr>
        <w:spacing w:after="100" w:line="276"/>
      </w:pPr>
      <w:r>
        <w:rPr>
          <w:rFonts w:ascii="Roboto Flex" w:cs="Roboto Flex" w:eastAsia="Roboto Flex" w:hAnsi="Roboto Flex"/>
          <w:color w:val="1F2937"/>
          <w:sz w:val="22"/>
          <w:szCs w:val="22"/>
        </w:rPr>
        <w:t xml:space="preserve">Ambassadors — a distributed network trained to communicate and reinforce expected behaviour within their own community.</w:t>
      </w:r>
    </w:p>
    <w:p>
      <w:pPr>
        <w:pStyle w:val="ListParagraph"/>
        <w:numPr>
          <w:ilvl w:val="0"/>
          <w:numId w:val="2"/>
        </w:numPr>
        <w:spacing w:after="100" w:line="276"/>
      </w:pPr>
      <w:r>
        <w:rPr>
          <w:rFonts w:ascii="Roboto Flex" w:cs="Roboto Flex" w:eastAsia="Roboto Flex" w:hAnsi="Roboto Flex"/>
          <w:color w:val="1F2937"/>
          <w:sz w:val="22"/>
          <w:szCs w:val="22"/>
        </w:rPr>
        <w:t xml:space="preserve">Management — additional training to recognise and address security issues and to foster the right culture within their teams.</w:t>
      </w:r>
    </w:p>
    <w:p>
      <w:pPr>
        <w:pStyle w:val="ListParagraph"/>
        <w:numPr>
          <w:ilvl w:val="0"/>
          <w:numId w:val="2"/>
        </w:numPr>
        <w:spacing w:after="100" w:line="276"/>
      </w:pPr>
      <w:r>
        <w:rPr>
          <w:rFonts w:ascii="Roboto Flex" w:cs="Roboto Flex" w:eastAsia="Roboto Flex" w:hAnsi="Roboto Flex"/>
          <w:color w:val="1F2937"/>
          <w:sz w:val="22"/>
          <w:szCs w:val="22"/>
        </w:rPr>
        <w:t xml:space="preserve">External facility services — people with physical access but restricted or no access to information systems (security, catering, cleaning).</w:t>
      </w:r>
    </w:p>
    <w:p>
      <w:pPr>
        <w:pStyle w:val="ListParagraph"/>
        <w:numPr>
          <w:ilvl w:val="0"/>
          <w:numId w:val="2"/>
        </w:numPr>
        <w:spacing w:after="100" w:line="276"/>
      </w:pPr>
      <w:r>
        <w:rPr>
          <w:rFonts w:ascii="Roboto Flex" w:cs="Roboto Flex" w:eastAsia="Roboto Flex" w:hAnsi="Roboto Flex"/>
          <w:color w:val="1F2937"/>
          <w:sz w:val="22"/>
          <w:szCs w:val="22"/>
        </w:rPr>
        <w:t xml:space="preserve">Special care — people needing additional help to understand security requirements or adopt the expected behaviours.</w:t>
      </w:r>
    </w:p>
    <w:p>
      <w:pPr>
        <w:pStyle w:val="Heading1"/>
        <w:spacing w:after="200" w:before="360"/>
      </w:pPr>
      <w:r>
        <w:rPr>
          <w:rFonts w:ascii="Poppins" w:cs="Poppins" w:eastAsia="Poppins" w:hAnsi="Poppins"/>
          <w:b/>
          <w:bCs/>
          <w:color w:val="1A4E5A"/>
          <w:sz w:val="32"/>
          <w:szCs w:val="32"/>
        </w:rPr>
        <w:t xml:space="preserve">6  Measuring and Reporting</w:t>
      </w:r>
    </w:p>
    <w:p>
      <w:pPr>
        <w:spacing w:after="160" w:line="276"/>
      </w:pPr>
      <w:r>
        <w:rPr>
          <w:rFonts w:ascii="Roboto Flex" w:cs="Roboto Flex" w:eastAsia="Roboto Flex" w:hAnsi="Roboto Flex"/>
          <w:color w:val="1F2937"/>
          <w:sz w:val="22"/>
          <w:szCs w:val="22"/>
        </w:rPr>
        <w:t xml:space="preserve">&lt;SECURITY TEAM&gt; monitors the completion and the efficacy of awareness and training activity, and reports to management. Key performance and risk indicators are defined in &lt;METRICS REFERENCE&gt; and reviewed annually. Report behaviour, not attendance: completion rates measure compliance with a process, not a change in what people do.</w:t>
      </w:r>
    </w:p>
    <w:p>
      <w:pPr>
        <w:pStyle w:val="Heading1"/>
        <w:spacing w:after="200" w:before="360"/>
      </w:pPr>
      <w:r>
        <w:rPr>
          <w:rFonts w:ascii="Poppins" w:cs="Poppins" w:eastAsia="Poppins" w:hAnsi="Poppins"/>
          <w:b/>
          <w:bCs/>
          <w:color w:val="1A4E5A"/>
          <w:sz w:val="32"/>
          <w:szCs w:val="32"/>
        </w:rPr>
        <w:t xml:space="preserve">7  Responsibilities</w:t>
      </w:r>
    </w:p>
    <w:tbl>
      <w:tblPr>
        <w:tblW w:type="dxa" w:w="9026"/>
        <w:tblBorders>
          <w:top w:val="single" w:color="467082" w:sz="6"/>
          <w:left w:val="single" w:color="467082" w:sz="6"/>
          <w:bottom w:val="single" w:color="467082" w:sz="6"/>
          <w:right w:val="single" w:color="467082" w:sz="6"/>
          <w:insideH w:val="single" w:color="C9D6DC" w:sz="4"/>
          <w:insideV w:val="single" w:color="C9D6DC" w:sz="4"/>
        </w:tblBorders>
      </w:tblPr>
      <w:tblGrid>
        <w:gridCol w:w="2600"/>
        <w:gridCol w:w="6426"/>
      </w:tblGrid>
      <w:tr>
        <w:trPr>
          <w:tblHeader/>
        </w:trPr>
        <w:tc>
          <w:tcPr>
            <w:tcW w:type="dxa" w:w="2600"/>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Role</w:t>
            </w:r>
          </w:p>
        </w:tc>
        <w:tc>
          <w:tcPr>
            <w:tcW w:type="dxa" w:w="6426"/>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Responsibility</w:t>
            </w:r>
          </w:p>
        </w:tc>
      </w:tr>
      <w:tr>
        <w:trPr>
          <w:tblHeader w:val="false"/>
        </w:trPr>
        <w:tc>
          <w:tcPr>
            <w:tcW w:type="dxa" w:w="26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Management team</w:t>
            </w:r>
          </w:p>
        </w:tc>
        <w:tc>
          <w:tcPr>
            <w:tcW w:type="dxa" w:w="64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Accountable for security standards within their area of responsibility, including training and resilience.</w:t>
            </w:r>
          </w:p>
        </w:tc>
      </w:tr>
      <w:tr>
        <w:trPr>
          <w:tblHeader w:val="false"/>
        </w:trPr>
        <w:tc>
          <w:tcPr>
            <w:tcW w:type="dxa" w:w="26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&lt;CISO&gt;</w:t>
            </w:r>
          </w:p>
        </w:tc>
        <w:tc>
          <w:tcPr>
            <w:tcW w:type="dxa" w:w="64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Identifies awareness and training needs, formulates and supervises the programme, advises management, provides specialist support.</w:t>
            </w:r>
          </w:p>
        </w:tc>
      </w:tr>
      <w:tr>
        <w:trPr>
          <w:tblHeader w:val="false"/>
        </w:trPr>
        <w:tc>
          <w:tcPr>
            <w:tcW w:type="dxa" w:w="26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Managers</w:t>
            </w:r>
          </w:p>
        </w:tc>
        <w:tc>
          <w:tcPr>
            <w:tcW w:type="dxa" w:w="64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Ensure security requirements are understood and followed within their teams; appoint ambassadors; identify training needs; release staff to attend; handle results in line with the data handling notice.</w:t>
            </w:r>
          </w:p>
        </w:tc>
      </w:tr>
      <w:tr>
        <w:trPr>
          <w:tblHeader w:val="false"/>
        </w:trPr>
        <w:tc>
          <w:tcPr>
            <w:tcW w:type="dxa" w:w="26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&lt;DPO&gt;</w:t>
            </w:r>
          </w:p>
        </w:tc>
        <w:tc>
          <w:tcPr>
            <w:tcW w:type="dxa" w:w="64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Advises on lawful basis, transparency, minimisation and retention across all awareness activity involving personal data.</w:t>
            </w:r>
          </w:p>
        </w:tc>
      </w:tr>
      <w:tr>
        <w:trPr>
          <w:tblHeader w:val="false"/>
        </w:trPr>
        <w:tc>
          <w:tcPr>
            <w:tcW w:type="dxa" w:w="26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All personnel</w:t>
            </w:r>
          </w:p>
        </w:tc>
        <w:tc>
          <w:tcPr>
            <w:tcW w:type="dxa" w:w="64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Complete required training and apply the expected behaviours — above all, report suspicious messages.</w:t>
            </w:r>
          </w:p>
        </w:tc>
      </w:tr>
    </w:tbl>
    <w:p>
      <w:pPr>
        <w:pStyle w:val="Heading1"/>
        <w:spacing w:after="200" w:before="360"/>
      </w:pPr>
      <w:r>
        <w:rPr>
          <w:rFonts w:ascii="Poppins" w:cs="Poppins" w:eastAsia="Poppins" w:hAnsi="Poppins"/>
          <w:b/>
          <w:bCs/>
          <w:color w:val="1A4E5A"/>
          <w:sz w:val="32"/>
          <w:szCs w:val="32"/>
        </w:rPr>
        <w:t xml:space="preserve">8  Review</w:t>
      </w:r>
    </w:p>
    <w:p>
      <w:pPr>
        <w:spacing w:after="160" w:line="276"/>
      </w:pPr>
      <w:r>
        <w:rPr>
          <w:rFonts w:ascii="Roboto Flex" w:cs="Roboto Flex" w:eastAsia="Roboto Flex" w:hAnsi="Roboto Flex"/>
          <w:color w:val="1F2937"/>
          <w:sz w:val="22"/>
          <w:szCs w:val="22"/>
        </w:rPr>
        <w:t xml:space="preserve">This policy is reviewed annually by &lt;CISO&gt; and approved by &lt;SECURITY COMMITTEE&gt;.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C" w:sz="4" w:space="4"/>
      </w:pBdr>
      <w:tabs>
        <w:tab w:val="right" w:pos="9026"/>
      </w:tabs>
    </w:pPr>
    <w:r>
      <w:rPr>
        <w:rFonts w:ascii="Roboto Flex" w:cs="Roboto Flex" w:eastAsia="Roboto Flex" w:hAnsi="Roboto Flex"/>
        <w:color w:val="6B7280"/>
        <w:sz w:val="16"/>
        <w:szCs w:val="16"/>
      </w:rPr>
      <w:t xml:space="preserve">Template from “Get Phishing Under Control” — Emmanuel Nicaise · getphishingundercontrol.com</w:t>
    </w:r>
    <w:r>
      <w:rPr>
        <w:rFonts w:ascii="Roboto Flex" w:cs="Roboto Flex" w:eastAsia="Roboto Flex" w:hAnsi="Roboto Flex"/>
        <w:color w:val="6B7280"/>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Flex" w:cs="Roboto Flex" w:eastAsia="Roboto Flex" w:hAnsi="Roboto Flex"/>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2026-08-01T13:43:18.311Z</dcterms:created>
  <dcterms:modified xsi:type="dcterms:W3CDTF">2026-08-01T13:43:18.311Z</dcterms:modified>
</cp:coreProperties>
</file>

<file path=docProps/custom.xml><?xml version="1.0" encoding="utf-8"?>
<Properties xmlns="http://schemas.openxmlformats.org/officeDocument/2006/custom-properties" xmlns:vt="http://schemas.openxmlformats.org/officeDocument/2006/docPropsVTypes"/>
</file>