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Poppins" w:cs="Poppins" w:eastAsia="Poppins" w:hAnsi="Poppins"/>
          <w:b/>
          <w:bCs/>
          <w:color w:val="1A4E5A"/>
          <w:sz w:val="20"/>
          <w:szCs w:val="20"/>
        </w:rPr>
        <w:t xml:space="preserve">GET </w:t>
      </w:r>
      <w:r>
        <w:rPr>
          <w:rFonts w:ascii="Poppins" w:cs="Poppins" w:eastAsia="Poppins" w:hAnsi="Poppins"/>
          <w:b/>
          <w:bCs/>
          <w:color w:val="F19A3E"/>
          <w:sz w:val="20"/>
          <w:szCs w:val="20"/>
        </w:rPr>
        <w:t xml:space="preserve">PHISHING </w:t>
      </w:r>
      <w:r>
        <w:rPr>
          <w:rFonts w:ascii="Poppins" w:cs="Poppins" w:eastAsia="Poppins" w:hAnsi="Poppins"/>
          <w:b/>
          <w:bCs/>
          <w:color w:val="1A4E5A"/>
          <w:sz w:val="20"/>
          <w:szCs w:val="20"/>
        </w:rPr>
        <w:t xml:space="preserve">UNDER </w:t>
      </w:r>
      <w:r>
        <w:rPr>
          <w:rFonts w:ascii="Poppins" w:cs="Poppins" w:eastAsia="Poppins" w:hAnsi="Poppins"/>
          <w:b/>
          <w:bCs/>
          <w:color w:val="A3D948"/>
          <w:sz w:val="20"/>
          <w:szCs w:val="20"/>
        </w:rPr>
        <w:t xml:space="preserve">CONTROL</w:t>
      </w:r>
      <w:r>
        <w:rPr>
          <w:rFonts w:ascii="Roboto Flex" w:cs="Roboto Flex" w:eastAsia="Roboto Flex" w:hAnsi="Roboto Flex"/>
          <w:color w:val="6B7280"/>
          <w:sz w:val="20"/>
          <w:szCs w:val="20"/>
        </w:rPr>
        <w:t xml:space="preserve">  ·  Programme template</w:t>
      </w:r>
    </w:p>
    <w:p>
      <w:pPr>
        <w:pBdr>
          <w:bottom w:val="single" w:color="A3D948" w:sz="12" w:space="4"/>
        </w:pBdr>
        <w:spacing w:after="80"/>
      </w:pPr>
      <w:r>
        <w:rPr>
          <w:rFonts w:ascii="Poppins" w:cs="Poppins" w:eastAsia="Poppins" w:hAnsi="Poppins"/>
          <w:b/>
          <w:bCs/>
          <w:color w:val="1A4E5A"/>
          <w:sz w:val="44"/>
          <w:szCs w:val="44"/>
        </w:rPr>
        <w:t xml:space="preserve">Phishing Advisory Board — Terms of Reference</w:t>
      </w:r>
    </w:p>
    <w:p>
      <w:pPr>
        <w:spacing w:after="300"/>
      </w:pPr>
      <w:r>
        <w:rPr>
          <w:rFonts w:ascii="Roboto Flex" w:cs="Roboto Flex" w:eastAsia="Roboto Flex" w:hAnsi="Roboto Flex"/>
          <w:i/>
          <w:iCs/>
          <w:color w:val="6B7280"/>
          <w:sz w:val="22"/>
          <w:szCs w:val="22"/>
        </w:rPr>
        <w:t xml:space="preserve">Deliberately lightweight. A board that meets for two hours a quarter will stop meeting; a board that reviews scenarios by email in ten minutes will still be running in three years. The point is not the ceremony — it is that someone outside the security team sees each scenario before it is sent.</w:t>
      </w:r>
    </w:p>
    <w:p>
      <w:pPr>
        <w:pStyle w:val="Heading1"/>
        <w:spacing w:after="200" w:before="360"/>
      </w:pPr>
      <w:r>
        <w:rPr>
          <w:rFonts w:ascii="Poppins" w:cs="Poppins" w:eastAsia="Poppins" w:hAnsi="Poppins"/>
          <w:b/>
          <w:bCs/>
          <w:color w:val="1A4E5A"/>
          <w:sz w:val="32"/>
          <w:szCs w:val="32"/>
        </w:rPr>
        <w:t xml:space="preserve">1  Purpose</w:t>
      </w:r>
    </w:p>
    <w:p>
      <w:pPr>
        <w:spacing w:after="160" w:line="276"/>
      </w:pPr>
      <w:r>
        <w:rPr>
          <w:rFonts w:ascii="Roboto Flex" w:cs="Roboto Flex" w:eastAsia="Roboto Flex" w:hAnsi="Roboto Flex"/>
          <w:color w:val="1F2937"/>
          <w:sz w:val="22"/>
          <w:szCs w:val="22"/>
        </w:rPr>
        <w:t xml:space="preserve">The Phishing Advisory Board exists to review and approve exercise scenarios before they are sent, to advise on the ethical and legal boundaries of the programme, and to advise on phishing mitigation controls more broadly. Its practical function is to supply the organisational context the security team does not have: the restructuring that has not been announced, the negotiation under way, the sensitivity nobody thought to mention.</w:t>
      </w:r>
    </w:p>
    <w:p>
      <w:pPr>
        <w:pStyle w:val="Heading1"/>
        <w:spacing w:after="200" w:before="360"/>
      </w:pPr>
      <w:r>
        <w:rPr>
          <w:rFonts w:ascii="Poppins" w:cs="Poppins" w:eastAsia="Poppins" w:hAnsi="Poppins"/>
          <w:b/>
          <w:bCs/>
          <w:color w:val="1A4E5A"/>
          <w:sz w:val="32"/>
          <w:szCs w:val="32"/>
        </w:rPr>
        <w:t xml:space="preserve">2  Composition</w:t>
      </w:r>
    </w:p>
    <w:p>
      <w:pPr>
        <w:spacing w:after="160" w:line="276"/>
      </w:pPr>
      <w:r>
        <w:rPr>
          <w:rFonts w:ascii="Roboto Flex" w:cs="Roboto Flex" w:eastAsia="Roboto Flex" w:hAnsi="Roboto Flex"/>
          <w:color w:val="1F2937"/>
          <w:sz w:val="22"/>
          <w:szCs w:val="22"/>
        </w:rPr>
        <w:t xml:space="preserve">Keep it small. Five to seven people is enough, and every additional member reduces the chance of getting a decision inside a week.</w:t>
      </w:r>
    </w:p>
    <w:tbl>
      <w:tblPr>
        <w:tblW w:type="dxa" w:w="9026"/>
        <w:tblBorders>
          <w:top w:val="single" w:color="467082" w:sz="6"/>
          <w:left w:val="single" w:color="467082" w:sz="6"/>
          <w:bottom w:val="single" w:color="467082" w:sz="6"/>
          <w:right w:val="single" w:color="467082" w:sz="6"/>
          <w:insideH w:val="single" w:color="C9D6DC" w:sz="4"/>
          <w:insideV w:val="single" w:color="C9D6DC" w:sz="4"/>
        </w:tblBorders>
      </w:tblPr>
      <w:tblGrid>
        <w:gridCol w:w="3200"/>
        <w:gridCol w:w="5826"/>
      </w:tblGrid>
      <w:tr>
        <w:trPr>
          <w:tblHeader/>
        </w:trPr>
        <w:tc>
          <w:tcPr>
            <w:tcW w:type="dxa" w:w="3200"/>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Member</w:t>
            </w:r>
          </w:p>
        </w:tc>
        <w:tc>
          <w:tcPr>
            <w:tcW w:type="dxa" w:w="5826"/>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Brings</w:t>
            </w:r>
          </w:p>
        </w:tc>
      </w:tr>
      <w:tr>
        <w:trPr>
          <w:tblHeader w:val="false"/>
        </w:trPr>
        <w:tc>
          <w:tcPr>
            <w:tcW w:type="dxa" w:w="3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&lt;CISO&gt; (chair)</w:t>
            </w:r>
          </w:p>
        </w:tc>
        <w:tc>
          <w:tcPr>
            <w:tcW w:type="dxa" w:w="58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Programme ownership, threat context, final accountability</w:t>
            </w:r>
          </w:p>
        </w:tc>
      </w:tr>
      <w:tr>
        <w:trPr>
          <w:tblHeader w:val="false"/>
        </w:trPr>
        <w:tc>
          <w:tcPr>
            <w:tcW w:type="dxa" w:w="3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&lt;DPO&gt;</w:t>
            </w:r>
          </w:p>
        </w:tc>
        <w:tc>
          <w:tcPr>
            <w:tcW w:type="dxa" w:w="58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Data protection, lawful basis, retention, transparency obligations</w:t>
            </w:r>
          </w:p>
        </w:tc>
      </w:tr>
      <w:tr>
        <w:trPr>
          <w:tblHeader w:val="false"/>
        </w:trPr>
        <w:tc>
          <w:tcPr>
            <w:tcW w:type="dxa" w:w="3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&lt;HR representative&gt;</w:t>
            </w:r>
          </w:p>
        </w:tc>
        <w:tc>
          <w:tcPr>
            <w:tcW w:type="dxa" w:w="58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Employment implications, timing, organisational climate</w:t>
            </w:r>
          </w:p>
        </w:tc>
      </w:tr>
      <w:tr>
        <w:trPr>
          <w:tblHeader w:val="false"/>
        </w:trPr>
        <w:tc>
          <w:tcPr>
            <w:tcW w:type="dxa" w:w="3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&lt;Legal counsel&gt;</w:t>
            </w:r>
          </w:p>
        </w:tc>
        <w:tc>
          <w:tcPr>
            <w:tcW w:type="dxa" w:w="58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Trademark and impersonation risk, jurisdictional constraints</w:t>
            </w:r>
          </w:p>
        </w:tc>
      </w:tr>
      <w:tr>
        <w:trPr>
          <w:tblHeader w:val="false"/>
        </w:trPr>
        <w:tc>
          <w:tcPr>
            <w:tcW w:type="dxa" w:w="3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&lt;Employee representative&gt;</w:t>
            </w:r>
          </w:p>
        </w:tc>
        <w:tc>
          <w:tcPr>
            <w:tcW w:type="dxa" w:w="58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Staff perception, works council obligations, legitimacy</w:t>
            </w:r>
          </w:p>
        </w:tc>
      </w:tr>
      <w:tr>
        <w:trPr>
          <w:tblHeader w:val="false"/>
        </w:trPr>
        <w:tc>
          <w:tcPr>
            <w:tcW w:type="dxa" w:w="3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&lt;Internal communications&gt;</w:t>
            </w:r>
          </w:p>
        </w:tc>
        <w:tc>
          <w:tcPr>
            <w:tcW w:type="dxa" w:w="58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Message clarity, conflicts with planned communications</w:t>
            </w:r>
          </w:p>
        </w:tc>
      </w:tr>
      <w:tr>
        <w:trPr>
          <w:tblHeader w:val="false"/>
        </w:trPr>
        <w:tc>
          <w:tcPr>
            <w:tcW w:type="dxa" w:w="3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&lt;Security awareness lead&gt;</w:t>
            </w:r>
          </w:p>
        </w:tc>
        <w:tc>
          <w:tcPr>
            <w:tcW w:type="dxa" w:w="58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Scenario design, results, secretariat</w:t>
            </w:r>
          </w:p>
        </w:tc>
      </w:tr>
    </w:tbl>
    <w:p>
      <w:pPr>
        <w:pStyle w:val="Heading1"/>
        <w:spacing w:after="200" w:before="360"/>
      </w:pPr>
      <w:r>
        <w:rPr>
          <w:rFonts w:ascii="Poppins" w:cs="Poppins" w:eastAsia="Poppins" w:hAnsi="Poppins"/>
          <w:b/>
          <w:bCs/>
          <w:color w:val="1A4E5A"/>
          <w:sz w:val="32"/>
          <w:szCs w:val="32"/>
        </w:rPr>
        <w:t xml:space="preserve">3  Responsibilities</w:t>
      </w:r>
    </w:p>
    <w:p>
      <w:pPr>
        <w:pStyle w:val="ListParagraph"/>
        <w:numPr>
          <w:ilvl w:val="0"/>
          <w:numId w:val="2"/>
        </w:numPr>
        <w:spacing w:after="100" w:line="276"/>
      </w:pPr>
      <w:r>
        <w:rPr>
          <w:rFonts w:ascii="Roboto Flex" w:cs="Roboto Flex" w:eastAsia="Roboto Flex" w:hAnsi="Roboto Flex"/>
          <w:color w:val="1F2937"/>
          <w:sz w:val="22"/>
          <w:szCs w:val="22"/>
        </w:rPr>
        <w:t xml:space="preserve">Approve scenarios before dispatch, using the scenario submission template — with the explicit power to veto.</w:t>
      </w:r>
    </w:p>
    <w:p>
      <w:pPr>
        <w:pStyle w:val="ListParagraph"/>
        <w:numPr>
          <w:ilvl w:val="0"/>
          <w:numId w:val="2"/>
        </w:numPr>
        <w:spacing w:after="100" w:line="276"/>
      </w:pPr>
      <w:r>
        <w:rPr>
          <w:rFonts w:ascii="Roboto Flex" w:cs="Roboto Flex" w:eastAsia="Roboto Flex" w:hAnsi="Roboto Flex"/>
          <w:color w:val="1F2937"/>
          <w:sz w:val="22"/>
          <w:szCs w:val="22"/>
        </w:rPr>
        <w:t xml:space="preserve">Approve the annual exercise plan, including difficulty progression and the populations in scope.</w:t>
      </w:r>
    </w:p>
    <w:p>
      <w:pPr>
        <w:pStyle w:val="ListParagraph"/>
        <w:numPr>
          <w:ilvl w:val="0"/>
          <w:numId w:val="2"/>
        </w:numPr>
        <w:spacing w:after="100" w:line="276"/>
      </w:pPr>
      <w:r>
        <w:rPr>
          <w:rFonts w:ascii="Roboto Flex" w:cs="Roboto Flex" w:eastAsia="Roboto Flex" w:hAnsi="Roboto Flex"/>
          <w:color w:val="1F2937"/>
          <w:sz w:val="22"/>
          <w:szCs w:val="22"/>
        </w:rPr>
        <w:t xml:space="preserve">Own the code of ethics and the data handling notice, reviewing both annually.</w:t>
      </w:r>
    </w:p>
    <w:p>
      <w:pPr>
        <w:pStyle w:val="ListParagraph"/>
        <w:numPr>
          <w:ilvl w:val="0"/>
          <w:numId w:val="2"/>
        </w:numPr>
        <w:spacing w:after="100" w:line="276"/>
      </w:pPr>
      <w:r>
        <w:rPr>
          <w:rFonts w:ascii="Roboto Flex" w:cs="Roboto Flex" w:eastAsia="Roboto Flex" w:hAnsi="Roboto Flex"/>
          <w:color w:val="1F2937"/>
          <w:sz w:val="22"/>
          <w:szCs w:val="22"/>
        </w:rPr>
        <w:t xml:space="preserve">Advise on mitigation controls — banners, the report button, filtering, training — and on the balance between them.</w:t>
      </w:r>
    </w:p>
    <w:p>
      <w:pPr>
        <w:pStyle w:val="ListParagraph"/>
        <w:numPr>
          <w:ilvl w:val="0"/>
          <w:numId w:val="2"/>
        </w:numPr>
        <w:spacing w:after="100" w:line="276"/>
      </w:pPr>
      <w:r>
        <w:rPr>
          <w:rFonts w:ascii="Roboto Flex" w:cs="Roboto Flex" w:eastAsia="Roboto Flex" w:hAnsi="Roboto Flex"/>
          <w:color w:val="1F2937"/>
          <w:sz w:val="22"/>
          <w:szCs w:val="22"/>
        </w:rPr>
        <w:t xml:space="preserve">Review programme results at least annually, in aggregate, and confirm that results are being used as the policy says they will be.</w:t>
      </w:r>
    </w:p>
    <w:p>
      <w:pPr>
        <w:pStyle w:val="ListParagraph"/>
        <w:numPr>
          <w:ilvl w:val="0"/>
          <w:numId w:val="2"/>
        </w:numPr>
        <w:spacing w:after="100" w:line="276"/>
      </w:pPr>
      <w:r>
        <w:rPr>
          <w:rFonts w:ascii="Roboto Flex" w:cs="Roboto Flex" w:eastAsia="Roboto Flex" w:hAnsi="Roboto Flex"/>
          <w:color w:val="1F2937"/>
          <w:sz w:val="22"/>
          <w:szCs w:val="22"/>
        </w:rPr>
        <w:t xml:space="preserve">Handle exceptions and complaints relating to the programme.</w:t>
      </w:r>
    </w:p>
    <w:p>
      <w:pPr>
        <w:pStyle w:val="Heading1"/>
        <w:spacing w:after="200" w:before="360"/>
      </w:pPr>
      <w:r>
        <w:rPr>
          <w:rFonts w:ascii="Poppins" w:cs="Poppins" w:eastAsia="Poppins" w:hAnsi="Poppins"/>
          <w:b/>
          <w:bCs/>
          <w:color w:val="1A4E5A"/>
          <w:sz w:val="32"/>
          <w:szCs w:val="32"/>
        </w:rPr>
        <w:t xml:space="preserve">4  Operation</w:t>
      </w:r>
    </w:p>
    <w:p>
      <w:pPr>
        <w:pStyle w:val="ListParagraph"/>
        <w:numPr>
          <w:ilvl w:val="0"/>
          <w:numId w:val="2"/>
        </w:numPr>
        <w:spacing w:after="100" w:line="276"/>
      </w:pPr>
      <w:r>
        <w:rPr>
          <w:rFonts w:ascii="Roboto Flex" w:cs="Roboto Flex" w:eastAsia="Roboto Flex" w:hAnsi="Roboto Flex"/>
          <w:color w:val="1F2937"/>
          <w:sz w:val="22"/>
          <w:szCs w:val="22"/>
        </w:rPr>
        <w:t xml:space="preserve">Frequency: quarterly, or whenever a scenario requires approval.</w:t>
      </w:r>
    </w:p>
    <w:p>
      <w:pPr>
        <w:pStyle w:val="ListParagraph"/>
        <w:numPr>
          <w:ilvl w:val="0"/>
          <w:numId w:val="2"/>
        </w:numPr>
        <w:spacing w:after="100" w:line="276"/>
      </w:pPr>
      <w:r>
        <w:rPr>
          <w:rFonts w:ascii="Roboto Flex" w:cs="Roboto Flex" w:eastAsia="Roboto Flex" w:hAnsi="Roboto Flex"/>
          <w:color w:val="1F2937"/>
          <w:sz w:val="22"/>
          <w:szCs w:val="22"/>
        </w:rPr>
        <w:t xml:space="preserve">Duration: approximately ten to fifteen minutes for a routine scenario review.</w:t>
      </w:r>
    </w:p>
    <w:p>
      <w:pPr>
        <w:pStyle w:val="ListParagraph"/>
        <w:numPr>
          <w:ilvl w:val="0"/>
          <w:numId w:val="2"/>
        </w:numPr>
        <w:spacing w:after="100" w:line="276"/>
      </w:pPr>
      <w:r>
        <w:rPr>
          <w:rFonts w:ascii="Roboto Flex" w:cs="Roboto Flex" w:eastAsia="Roboto Flex" w:hAnsi="Roboto Flex"/>
          <w:color w:val="1F2937"/>
          <w:sz w:val="22"/>
          <w:szCs w:val="22"/>
        </w:rPr>
        <w:t xml:space="preserve">Format: a short meeting or an email exchange — whichever is faster. Written approval by email is valid.</w:t>
      </w:r>
    </w:p>
    <w:p>
      <w:pPr>
        <w:pStyle w:val="ListParagraph"/>
        <w:numPr>
          <w:ilvl w:val="0"/>
          <w:numId w:val="2"/>
        </w:numPr>
        <w:spacing w:after="100" w:line="276"/>
      </w:pPr>
      <w:r>
        <w:rPr>
          <w:rFonts w:ascii="Roboto Flex" w:cs="Roboto Flex" w:eastAsia="Roboto Flex" w:hAnsi="Roboto Flex"/>
          <w:color w:val="1F2937"/>
          <w:sz w:val="22"/>
          <w:szCs w:val="22"/>
        </w:rPr>
        <w:t xml:space="preserve">Quorum: the chair plus &lt;DPO&gt; and &lt;HR&gt;. A scenario involving impersonation, third-party brands, or financial inducement additionally requires &lt;legal counsel&gt;.</w:t>
      </w:r>
    </w:p>
    <w:p>
      <w:pPr>
        <w:pStyle w:val="ListParagraph"/>
        <w:numPr>
          <w:ilvl w:val="0"/>
          <w:numId w:val="2"/>
        </w:numPr>
        <w:spacing w:after="100" w:line="276"/>
      </w:pPr>
      <w:r>
        <w:rPr>
          <w:rFonts w:ascii="Roboto Flex" w:cs="Roboto Flex" w:eastAsia="Roboto Flex" w:hAnsi="Roboto Flex"/>
          <w:color w:val="1F2937"/>
          <w:sz w:val="22"/>
          <w:szCs w:val="22"/>
        </w:rPr>
        <w:t xml:space="preserve">Decision: consensus where possible. Any single member may veto a scenario on ethical grounds, without needing to justify the veto beyond the concern raised.</w:t>
      </w:r>
    </w:p>
    <w:p>
      <w:pPr>
        <w:pStyle w:val="ListParagraph"/>
        <w:numPr>
          <w:ilvl w:val="0"/>
          <w:numId w:val="2"/>
        </w:numPr>
        <w:spacing w:after="100" w:line="276"/>
      </w:pPr>
      <w:r>
        <w:rPr>
          <w:rFonts w:ascii="Roboto Flex" w:cs="Roboto Flex" w:eastAsia="Roboto Flex" w:hAnsi="Roboto Flex"/>
          <w:color w:val="1F2937"/>
          <w:sz w:val="22"/>
          <w:szCs w:val="22"/>
        </w:rPr>
        <w:t xml:space="preserve">Turnaround: submissions are answered within &lt;N&gt; working days. A scenario not answered in time is not deemed approved.</w:t>
      </w:r>
    </w:p>
    <w:p>
      <w:pPr>
        <w:pStyle w:val="ListParagraph"/>
        <w:numPr>
          <w:ilvl w:val="0"/>
          <w:numId w:val="2"/>
        </w:numPr>
        <w:spacing w:after="100" w:line="276"/>
      </w:pPr>
      <w:r>
        <w:rPr>
          <w:rFonts w:ascii="Roboto Flex" w:cs="Roboto Flex" w:eastAsia="Roboto Flex" w:hAnsi="Roboto Flex"/>
          <w:color w:val="1F2937"/>
          <w:sz w:val="22"/>
          <w:szCs w:val="22"/>
        </w:rPr>
        <w:t xml:space="preserve">Record: the secretariat keeps a log of every scenario submitted, the decision, and the reasoning. This log is the programme’s audit trail and its defence if a campaign is later questioned.</w:t>
      </w:r>
    </w:p>
    <w:p>
      <w:pPr>
        <w:pStyle w:val="Heading1"/>
        <w:spacing w:after="200" w:before="360"/>
      </w:pPr>
      <w:r>
        <w:rPr>
          <w:rFonts w:ascii="Poppins" w:cs="Poppins" w:eastAsia="Poppins" w:hAnsi="Poppins"/>
          <w:b/>
          <w:bCs/>
          <w:color w:val="1A4E5A"/>
          <w:sz w:val="32"/>
          <w:szCs w:val="32"/>
        </w:rPr>
        <w:t xml:space="preserve">5  Escalation</w:t>
      </w:r>
    </w:p>
    <w:p>
      <w:pPr>
        <w:spacing w:after="160" w:line="276"/>
      </w:pPr>
      <w:r>
        <w:rPr>
          <w:rFonts w:ascii="Roboto Flex" w:cs="Roboto Flex" w:eastAsia="Roboto Flex" w:hAnsi="Roboto Flex"/>
          <w:color w:val="1F2937"/>
          <w:sz w:val="22"/>
          <w:szCs w:val="22"/>
        </w:rPr>
        <w:t xml:space="preserve">Scenarios the Board cannot agree on, and any proposal to change how individual results are used, are escalated to &lt;SECURITY COMMITTEE / EXECUTIVE COMMITTEE&gt;.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C" w:sz="4" w:space="4"/>
      </w:pBdr>
      <w:tabs>
        <w:tab w:val="right" w:pos="9026"/>
      </w:tabs>
    </w:pPr>
    <w:r>
      <w:rPr>
        <w:rFonts w:ascii="Roboto Flex" w:cs="Roboto Flex" w:eastAsia="Roboto Flex" w:hAnsi="Roboto Flex"/>
        <w:color w:val="6B7280"/>
        <w:sz w:val="16"/>
        <w:szCs w:val="16"/>
      </w:rPr>
      <w:t xml:space="preserve">Template from “Get Phishing Under Control” — Emmanuel Nicaise · getphishingundercontrol.com</w:t>
    </w:r>
    <w:r>
      <w:rPr>
        <w:rFonts w:ascii="Roboto Flex" w:cs="Roboto Flex" w:eastAsia="Roboto Flex" w:hAnsi="Roboto Flex"/>
        <w:color w:val="6B7280"/>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Flex" w:cs="Roboto Flex" w:eastAsia="Roboto Flex" w:hAnsi="Roboto Flex"/>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2026-08-01T13:43:18.310Z</dcterms:created>
  <dcterms:modified xsi:type="dcterms:W3CDTF">2026-08-01T13:43:18.310Z</dcterms:modified>
</cp:coreProperties>
</file>

<file path=docProps/custom.xml><?xml version="1.0" encoding="utf-8"?>
<Properties xmlns="http://schemas.openxmlformats.org/officeDocument/2006/custom-properties" xmlns:vt="http://schemas.openxmlformats.org/officeDocument/2006/docPropsVTypes"/>
</file>