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Poppins" w:cs="Poppins" w:eastAsia="Poppins" w:hAnsi="Poppins"/>
          <w:b/>
          <w:bCs/>
          <w:color w:val="1A4E5A"/>
          <w:sz w:val="20"/>
          <w:szCs w:val="20"/>
        </w:rPr>
        <w:t xml:space="preserve">GET </w:t>
      </w:r>
      <w:r>
        <w:rPr>
          <w:rFonts w:ascii="Poppins" w:cs="Poppins" w:eastAsia="Poppins" w:hAnsi="Poppins"/>
          <w:b/>
          <w:bCs/>
          <w:color w:val="F19A3E"/>
          <w:sz w:val="20"/>
          <w:szCs w:val="20"/>
        </w:rPr>
        <w:t xml:space="preserve">PHISHING </w:t>
      </w:r>
      <w:r>
        <w:rPr>
          <w:rFonts w:ascii="Poppins" w:cs="Poppins" w:eastAsia="Poppins" w:hAnsi="Poppins"/>
          <w:b/>
          <w:bCs/>
          <w:color w:val="1A4E5A"/>
          <w:sz w:val="20"/>
          <w:szCs w:val="20"/>
        </w:rPr>
        <w:t xml:space="preserve">UNDER </w:t>
      </w:r>
      <w:r>
        <w:rPr>
          <w:rFonts w:ascii="Poppins" w:cs="Poppins" w:eastAsia="Poppins" w:hAnsi="Poppins"/>
          <w:b/>
          <w:bCs/>
          <w:color w:val="A3D948"/>
          <w:sz w:val="20"/>
          <w:szCs w:val="20"/>
        </w:rPr>
        <w:t xml:space="preserve">CONTROL</w:t>
      </w:r>
      <w:r>
        <w:rPr>
          <w:rFonts w:ascii="Roboto Flex" w:cs="Roboto Flex" w:eastAsia="Roboto Flex" w:hAnsi="Roboto Flex"/>
          <w:color w:val="6B7280"/>
          <w:sz w:val="20"/>
          <w:szCs w:val="20"/>
        </w:rPr>
        <w:t xml:space="preserve">  ·  Programme template</w:t>
      </w:r>
    </w:p>
    <w:p>
      <w:pPr>
        <w:pBdr>
          <w:bottom w:val="single" w:color="A3D948" w:sz="12" w:space="4"/>
        </w:pBdr>
        <w:spacing w:after="80"/>
      </w:pPr>
      <w:r>
        <w:rPr>
          <w:rFonts w:ascii="Poppins" w:cs="Poppins" w:eastAsia="Poppins" w:hAnsi="Poppins"/>
          <w:b/>
          <w:bCs/>
          <w:color w:val="1A4E5A"/>
          <w:sz w:val="44"/>
          <w:szCs w:val="44"/>
        </w:rPr>
        <w:t xml:space="preserve">Data Handling and Privacy Notice</w:t>
      </w:r>
    </w:p>
    <w:p>
      <w:pPr>
        <w:spacing w:after="300"/>
      </w:pPr>
      <w:r>
        <w:rPr>
          <w:rFonts w:ascii="Roboto Flex" w:cs="Roboto Flex" w:eastAsia="Roboto Flex" w:hAnsi="Roboto Flex"/>
          <w:i/>
          <w:iCs/>
          <w:color w:val="6B7280"/>
          <w:sz w:val="22"/>
          <w:szCs w:val="22"/>
        </w:rPr>
        <w:t xml:space="preserve">The companion document to the code of ethics. It answers the question your DPO and your works council will ask first: what exactly do you collect, why, who sees it, and when does it disappear? Write it before the first campaign, not after the first complaint.</w:t>
      </w:r>
    </w:p>
    <w:p>
      <w:pPr>
        <w:pStyle w:val="Heading1"/>
        <w:spacing w:after="200" w:before="360"/>
      </w:pPr>
      <w:r>
        <w:rPr>
          <w:rFonts w:ascii="Poppins" w:cs="Poppins" w:eastAsia="Poppins" w:hAnsi="Poppins"/>
          <w:b/>
          <w:bCs/>
          <w:color w:val="1A4E5A"/>
          <w:sz w:val="32"/>
          <w:szCs w:val="32"/>
        </w:rPr>
        <w:t xml:space="preserve">1  Purpose and Lawful Basis</w:t>
      </w:r>
    </w:p>
    <w:p>
      <w:pPr>
        <w:spacing w:after="160" w:line="276"/>
      </w:pPr>
      <w:r>
        <w:rPr>
          <w:rFonts w:ascii="Roboto Flex" w:cs="Roboto Flex" w:eastAsia="Roboto Flex" w:hAnsi="Roboto Flex"/>
          <w:color w:val="1F2937"/>
          <w:sz w:val="22"/>
          <w:szCs w:val="22"/>
        </w:rPr>
        <w:t xml:space="preserve">Phishing exercises involve processing personal data relating to identified employees, contractors and other workers. The purposes are those set out in the Code of Ethics: measuring exposure to phishing, training staff, increasing reporting, and improving the controls that protect the organisation.</w:t>
      </w:r>
    </w:p>
    <w:p>
      <w:pPr>
        <w:spacing w:after="160" w:line="276"/>
      </w:pPr>
      <w:r>
        <w:rPr>
          <w:rFonts w:ascii="Roboto Flex" w:cs="Roboto Flex" w:eastAsia="Roboto Flex" w:hAnsi="Roboto Flex"/>
          <w:color w:val="1F2937"/>
          <w:sz w:val="22"/>
          <w:szCs w:val="22"/>
        </w:rPr>
        <w:t xml:space="preserve">The lawful basis relied upon is &lt;legitimate interests / legal obligation / as advised by the DPO&gt;, on the basis that securing the organisation’s information systems is a legitimate interest that cannot reasonably be achieved by less intrusive means, and that the processing is limited, transparent and cannot lead to individual detriment. A balancing assessment is documented at &lt;REFERENCE&gt;. Confirm the basis with your DPO: consent is generally not an appropriate basis in an employment relationship, because it cannot be freely given.</w:t>
      </w:r>
    </w:p>
    <w:p>
      <w:pPr>
        <w:pStyle w:val="Heading1"/>
        <w:spacing w:after="200" w:before="360"/>
      </w:pPr>
      <w:r>
        <w:rPr>
          <w:rFonts w:ascii="Poppins" w:cs="Poppins" w:eastAsia="Poppins" w:hAnsi="Poppins"/>
          <w:b/>
          <w:bCs/>
          <w:color w:val="1A4E5A"/>
          <w:sz w:val="32"/>
          <w:szCs w:val="32"/>
        </w:rPr>
        <w:t xml:space="preserve">2  What Is Measured</w:t>
      </w:r>
    </w:p>
    <w:p>
      <w:pPr>
        <w:spacing w:after="160" w:line="276"/>
      </w:pPr>
      <w:r>
        <w:rPr>
          <w:rFonts w:ascii="Roboto Flex" w:cs="Roboto Flex" w:eastAsia="Roboto Flex" w:hAnsi="Roboto Flex"/>
          <w:color w:val="1F2937"/>
          <w:sz w:val="22"/>
          <w:szCs w:val="22"/>
        </w:rPr>
        <w:t xml:space="preserve">For each simulated message, where technically available:</w:t>
      </w:r>
    </w:p>
    <w:p>
      <w:pPr>
        <w:pStyle w:val="ListParagraph"/>
        <w:numPr>
          <w:ilvl w:val="0"/>
          <w:numId w:val="2"/>
        </w:numPr>
        <w:spacing w:after="100" w:line="276"/>
      </w:pPr>
      <w:r>
        <w:rPr>
          <w:rFonts w:ascii="Roboto Flex" w:cs="Roboto Flex" w:eastAsia="Roboto Flex" w:hAnsi="Roboto Flex"/>
          <w:color w:val="1F2937"/>
          <w:sz w:val="22"/>
          <w:szCs w:val="22"/>
        </w:rPr>
        <w:t xml:space="preserve">Message opened (images loaded or preview registered) — yes/no and timestamp;</w:t>
      </w:r>
    </w:p>
    <w:p>
      <w:pPr>
        <w:pStyle w:val="ListParagraph"/>
        <w:numPr>
          <w:ilvl w:val="0"/>
          <w:numId w:val="2"/>
        </w:numPr>
        <w:spacing w:after="100" w:line="276"/>
      </w:pPr>
      <w:r>
        <w:rPr>
          <w:rFonts w:ascii="Roboto Flex" w:cs="Roboto Flex" w:eastAsia="Roboto Flex" w:hAnsi="Roboto Flex"/>
          <w:color w:val="1F2937"/>
          <w:sz w:val="22"/>
          <w:szCs w:val="22"/>
        </w:rPr>
        <w:t xml:space="preserve">Link clicked or attachment opened — yes/no and timestamp;</w:t>
      </w:r>
    </w:p>
    <w:p>
      <w:pPr>
        <w:pStyle w:val="ListParagraph"/>
        <w:numPr>
          <w:ilvl w:val="0"/>
          <w:numId w:val="2"/>
        </w:numPr>
        <w:spacing w:after="100" w:line="276"/>
      </w:pPr>
      <w:r>
        <w:rPr>
          <w:rFonts w:ascii="Roboto Flex" w:cs="Roboto Flex" w:eastAsia="Roboto Flex" w:hAnsi="Roboto Flex"/>
          <w:color w:val="1F2937"/>
          <w:sz w:val="22"/>
          <w:szCs w:val="22"/>
        </w:rPr>
        <w:t xml:space="preserve">Information submitted on the simulated page — yes/no and timestamp. Credentials themselves are never stored, transmitted in clear text, or retained in any form;</w:t>
      </w:r>
    </w:p>
    <w:p>
      <w:pPr>
        <w:pStyle w:val="ListParagraph"/>
        <w:numPr>
          <w:ilvl w:val="0"/>
          <w:numId w:val="2"/>
        </w:numPr>
        <w:spacing w:after="100" w:line="276"/>
      </w:pPr>
      <w:r>
        <w:rPr>
          <w:rFonts w:ascii="Roboto Flex" w:cs="Roboto Flex" w:eastAsia="Roboto Flex" w:hAnsi="Roboto Flex"/>
          <w:color w:val="1F2937"/>
          <w:sz w:val="22"/>
          <w:szCs w:val="22"/>
        </w:rPr>
        <w:t xml:space="preserve">Message reported to &lt;SECURITY CONTACT&gt; — yes/no and timestamp.</w:t>
      </w:r>
    </w:p>
    <w:p>
      <w:pPr>
        <w:spacing w:after="160" w:line="276"/>
      </w:pPr>
      <w:r>
        <w:rPr>
          <w:rFonts w:ascii="Roboto Flex" w:cs="Roboto Flex" w:eastAsia="Roboto Flex" w:hAnsi="Roboto Flex"/>
          <w:color w:val="1F2937"/>
          <w:sz w:val="22"/>
          <w:szCs w:val="22"/>
        </w:rPr>
        <w:t xml:space="preserve">The following contextual attributes may be used for analysis:</w:t>
      </w:r>
    </w:p>
    <w:p>
      <w:pPr>
        <w:pStyle w:val="ListParagraph"/>
        <w:numPr>
          <w:ilvl w:val="0"/>
          <w:numId w:val="2"/>
        </w:numPr>
        <w:spacing w:after="100" w:line="276"/>
      </w:pPr>
      <w:r>
        <w:rPr>
          <w:rFonts w:ascii="Roboto Flex" w:cs="Roboto Flex" w:eastAsia="Roboto Flex" w:hAnsi="Roboto Flex"/>
          <w:color w:val="1F2937"/>
          <w:sz w:val="22"/>
          <w:szCs w:val="22"/>
        </w:rPr>
        <w:t xml:space="preserve">email address of the recipient; date and time of delivery;</w:t>
      </w:r>
    </w:p>
    <w:p>
      <w:pPr>
        <w:pStyle w:val="ListParagraph"/>
        <w:numPr>
          <w:ilvl w:val="0"/>
          <w:numId w:val="2"/>
        </w:numPr>
        <w:spacing w:after="100" w:line="276"/>
      </w:pPr>
      <w:r>
        <w:rPr>
          <w:rFonts w:ascii="Roboto Flex" w:cs="Roboto Flex" w:eastAsia="Roboto Flex" w:hAnsi="Roboto Flex"/>
          <w:color w:val="1F2937"/>
          <w:sz w:val="22"/>
          <w:szCs w:val="22"/>
        </w:rPr>
        <w:t xml:space="preserve">language of the recipient and language of the message;</w:t>
      </w:r>
    </w:p>
    <w:p>
      <w:pPr>
        <w:pStyle w:val="ListParagraph"/>
        <w:numPr>
          <w:ilvl w:val="0"/>
          <w:numId w:val="2"/>
        </w:numPr>
        <w:spacing w:after="100" w:line="276"/>
      </w:pPr>
      <w:r>
        <w:rPr>
          <w:rFonts w:ascii="Roboto Flex" w:cs="Roboto Flex" w:eastAsia="Roboto Flex" w:hAnsi="Roboto Flex"/>
          <w:color w:val="1F2937"/>
          <w:sz w:val="22"/>
          <w:szCs w:val="22"/>
        </w:rPr>
        <w:t xml:space="preserve">department, entity, country and location;</w:t>
      </w:r>
    </w:p>
    <w:p>
      <w:pPr>
        <w:pStyle w:val="ListParagraph"/>
        <w:numPr>
          <w:ilvl w:val="0"/>
          <w:numId w:val="2"/>
        </w:numPr>
        <w:spacing w:after="100" w:line="276"/>
      </w:pPr>
      <w:r>
        <w:rPr>
          <w:rFonts w:ascii="Roboto Flex" w:cs="Roboto Flex" w:eastAsia="Roboto Flex" w:hAnsi="Roboto Flex"/>
          <w:color w:val="1F2937"/>
          <w:sz w:val="22"/>
          <w:szCs w:val="22"/>
        </w:rPr>
        <w:t xml:space="preserve">seniority or length of service, and age band;</w:t>
      </w:r>
    </w:p>
    <w:p>
      <w:pPr>
        <w:pStyle w:val="ListParagraph"/>
        <w:numPr>
          <w:ilvl w:val="0"/>
          <w:numId w:val="2"/>
        </w:numPr>
        <w:spacing w:after="100" w:line="276"/>
      </w:pPr>
      <w:r>
        <w:rPr>
          <w:rFonts w:ascii="Roboto Flex" w:cs="Roboto Flex" w:eastAsia="Roboto Flex" w:hAnsi="Roboto Flex"/>
          <w:color w:val="1F2937"/>
          <w:sz w:val="22"/>
          <w:szCs w:val="22"/>
        </w:rPr>
        <w:t xml:space="preserve">function and worker status (employee, contractor, consultant);</w:t>
      </w:r>
    </w:p>
    <w:p>
      <w:pPr>
        <w:pStyle w:val="ListParagraph"/>
        <w:numPr>
          <w:ilvl w:val="0"/>
          <w:numId w:val="2"/>
        </w:numPr>
        <w:spacing w:after="100" w:line="276"/>
      </w:pPr>
      <w:r>
        <w:rPr>
          <w:rFonts w:ascii="Roboto Flex" w:cs="Roboto Flex" w:eastAsia="Roboto Flex" w:hAnsi="Roboto Flex"/>
          <w:color w:val="1F2937"/>
          <w:sz w:val="22"/>
          <w:szCs w:val="22"/>
        </w:rPr>
        <w:t xml:space="preserve">previous exercise results and prior training history;</w:t>
      </w:r>
    </w:p>
    <w:p>
      <w:pPr>
        <w:pStyle w:val="ListParagraph"/>
        <w:numPr>
          <w:ilvl w:val="0"/>
          <w:numId w:val="2"/>
        </w:numPr>
        <w:spacing w:after="100" w:line="276"/>
      </w:pPr>
      <w:r>
        <w:rPr>
          <w:rFonts w:ascii="Roboto Flex" w:cs="Roboto Flex" w:eastAsia="Roboto Flex" w:hAnsi="Roboto Flex"/>
          <w:color w:val="1F2937"/>
          <w:sz w:val="22"/>
          <w:szCs w:val="22"/>
        </w:rPr>
        <w:t xml:space="preserve">technical data on the client or browser used (device type, mail client).</w:t>
      </w:r>
    </w:p>
    <w:p>
      <w:pPr>
        <w:pStyle w:val="Heading1"/>
        <w:spacing w:after="200" w:before="360"/>
      </w:pPr>
      <w:r>
        <w:rPr>
          <w:rFonts w:ascii="Poppins" w:cs="Poppins" w:eastAsia="Poppins" w:hAnsi="Poppins"/>
          <w:b/>
          <w:bCs/>
          <w:color w:val="1A4E5A"/>
          <w:sz w:val="32"/>
          <w:szCs w:val="32"/>
        </w:rPr>
        <w:t xml:space="preserve">3  Why Each Attribute Is Needed</w:t>
      </w:r>
    </w:p>
    <w:p>
      <w:pPr>
        <w:spacing w:after="160" w:line="276"/>
      </w:pPr>
      <w:r>
        <w:rPr>
          <w:rFonts w:ascii="Roboto Flex" w:cs="Roboto Flex" w:eastAsia="Roboto Flex" w:hAnsi="Roboto Flex"/>
          <w:color w:val="1F2937"/>
          <w:sz w:val="22"/>
          <w:szCs w:val="22"/>
        </w:rPr>
        <w:t xml:space="preserve">Data minimisation is a requirement, not a courtesy: if an attribute cannot be justified, it should not be collected. The justifications are as follows.</w:t>
      </w:r>
    </w:p>
    <w:p>
      <w:pPr>
        <w:spacing w:after="160" w:line="276"/>
      </w:pPr>
      <w:r>
        <w:rPr>
          <w:rFonts w:ascii="Roboto Flex" w:cs="Roboto Flex" w:eastAsia="Roboto Flex" w:hAnsi="Roboto Flex"/>
          <w:color w:val="1F2937"/>
          <w:sz w:val="22"/>
          <w:szCs w:val="22"/>
        </w:rPr>
        <w:t xml:space="preserve">The four behavioural measures establish what the recipient did, and are the basis of every metric in the programme. Date and time matter because time of day and day of week measurably affect click rates. Language matters because messages received in a second language are processed differently. Department, function and location matter because some roles legitimately receive high volumes of external mail, some are targeted more than others, and cultural relevance changes how a scenario lands — without these, group differences are invisible and training cannot be tailored. Length of service and age band are used together to separate the effect of not yet having been trained from any effect of age. Prior training and previous results are what allow the programme to demonstrate — or disprove — its own effectiveness. Technical client data distinguishes a message read on a mobile device, where the sender address is often hidden, from one read on a desktop.</w:t>
      </w:r>
    </w:p>
    <w:p>
      <w:pPr>
        <w:pStyle w:val="Heading1"/>
        <w:spacing w:after="200" w:before="360"/>
      </w:pPr>
      <w:r>
        <w:rPr>
          <w:rFonts w:ascii="Poppins" w:cs="Poppins" w:eastAsia="Poppins" w:hAnsi="Poppins"/>
          <w:b/>
          <w:bCs/>
          <w:color w:val="1A4E5A"/>
          <w:sz w:val="32"/>
          <w:szCs w:val="32"/>
        </w:rPr>
        <w:t xml:space="preserve">4  Data Flow</w:t>
      </w:r>
    </w:p>
    <w:p>
      <w:pPr>
        <w:spacing w:after="160" w:line="276"/>
      </w:pPr>
      <w:r>
        <w:rPr>
          <w:rFonts w:ascii="Roboto Flex" w:cs="Roboto Flex" w:eastAsia="Roboto Flex" w:hAnsi="Roboto Flex"/>
          <w:color w:val="1F2937"/>
          <w:sz w:val="22"/>
          <w:szCs w:val="22"/>
        </w:rPr>
        <w:t xml:space="preserve">A typical campaign follows this sequence. Document your own equivalent, including every system the data passes through.</w:t>
      </w:r>
    </w:p>
    <w:tbl>
      <w:tblPr>
        <w:tblW w:type="dxa" w:w="9026"/>
        <w:tblBorders>
          <w:top w:val="single" w:color="467082" w:sz="6"/>
          <w:left w:val="single" w:color="467082" w:sz="6"/>
          <w:bottom w:val="single" w:color="467082" w:sz="6"/>
          <w:right w:val="single" w:color="467082" w:sz="6"/>
          <w:insideH w:val="single" w:color="C9D6DC" w:sz="4"/>
          <w:insideV w:val="single" w:color="C9D6DC" w:sz="4"/>
        </w:tblBorders>
      </w:tblPr>
      <w:tblGrid>
        <w:gridCol w:w="700"/>
        <w:gridCol w:w="5200"/>
        <w:gridCol w:w="3126"/>
      </w:tblGrid>
      <w:tr>
        <w:trPr>
          <w:tblHeader/>
        </w:trPr>
        <w:tc>
          <w:tcPr>
            <w:tcW w:type="dxa" w:w="700"/>
            <w:shd w:fill="1A4E5A" w:val="clear"/>
            <w:tcMar>
              <w:top w:type="dxa" w:w="90"/>
              <w:left w:type="dxa" w:w="140"/>
              <w:bottom w:type="dxa" w:w="90"/>
              <w:right w:type="dxa" w:w="140"/>
            </w:tcMar>
          </w:tcPr>
          <w:p>
            <w:pPr>
              <w:spacing w:after="0" w:line="252"/>
            </w:pPr>
            <w:r>
              <w:rPr>
                <w:rFonts w:ascii="Roboto Flex" w:cs="Roboto Flex" w:eastAsia="Roboto Flex" w:hAnsi="Roboto Flex"/>
                <w:b/>
                <w:bCs/>
                <w:color w:val="FFFFFF"/>
                <w:sz w:val="20"/>
                <w:szCs w:val="20"/>
              </w:rPr>
              <w:t xml:space="preserve">Step</w:t>
            </w:r>
          </w:p>
        </w:tc>
        <w:tc>
          <w:tcPr>
            <w:tcW w:type="dxa" w:w="5200"/>
            <w:shd w:fill="1A4E5A" w:val="clear"/>
            <w:tcMar>
              <w:top w:type="dxa" w:w="90"/>
              <w:left w:type="dxa" w:w="140"/>
              <w:bottom w:type="dxa" w:w="90"/>
              <w:right w:type="dxa" w:w="140"/>
            </w:tcMar>
          </w:tcPr>
          <w:p>
            <w:pPr>
              <w:spacing w:after="0" w:line="252"/>
            </w:pPr>
            <w:r>
              <w:rPr>
                <w:rFonts w:ascii="Roboto Flex" w:cs="Roboto Flex" w:eastAsia="Roboto Flex" w:hAnsi="Roboto Flex"/>
                <w:b/>
                <w:bCs/>
                <w:color w:val="FFFFFF"/>
                <w:sz w:val="20"/>
                <w:szCs w:val="20"/>
              </w:rPr>
              <w:t xml:space="preserve">Action</w:t>
            </w:r>
          </w:p>
        </w:tc>
        <w:tc>
          <w:tcPr>
            <w:tcW w:type="dxa" w:w="3126"/>
            <w:shd w:fill="1A4E5A" w:val="clear"/>
            <w:tcMar>
              <w:top w:type="dxa" w:w="90"/>
              <w:left w:type="dxa" w:w="140"/>
              <w:bottom w:type="dxa" w:w="90"/>
              <w:right w:type="dxa" w:w="140"/>
            </w:tcMar>
          </w:tcPr>
          <w:p>
            <w:pPr>
              <w:spacing w:after="0" w:line="252"/>
            </w:pPr>
            <w:r>
              <w:rPr>
                <w:rFonts w:ascii="Roboto Flex" w:cs="Roboto Flex" w:eastAsia="Roboto Flex" w:hAnsi="Roboto Flex"/>
                <w:b/>
                <w:bCs/>
                <w:color w:val="FFFFFF"/>
                <w:sz w:val="20"/>
                <w:szCs w:val="20"/>
              </w:rPr>
              <w:t xml:space="preserve">Data involved</w:t>
            </w:r>
          </w:p>
        </w:tc>
      </w:tr>
      <w:tr>
        <w:trPr>
          <w:tblHeader w:val="false"/>
        </w:trPr>
        <w:tc>
          <w:tcPr>
            <w:tcW w:type="dxa" w:w="700"/>
            <w:shd w:fill="FFFFFF"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1</w:t>
            </w:r>
          </w:p>
        </w:tc>
        <w:tc>
          <w:tcPr>
            <w:tcW w:type="dxa" w:w="5200"/>
            <w:shd w:fill="FFFFFF"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&lt;HR&gt; provides a staff extract to the &lt;SECURITY TEAM&gt;</w:t>
            </w:r>
          </w:p>
        </w:tc>
        <w:tc>
          <w:tcPr>
            <w:tcW w:type="dxa" w:w="3126"/>
            <w:shd w:fill="FFFFFF"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Name, email address, department, entity, location, status, start date</w:t>
            </w:r>
          </w:p>
        </w:tc>
      </w:tr>
      <w:tr>
        <w:trPr>
          <w:tblHeader w:val="false"/>
        </w:trPr>
        <w:tc>
          <w:tcPr>
            <w:tcW w:type="dxa" w:w="700"/>
            <w:shd w:fill="F5F7FA"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2</w:t>
            </w:r>
          </w:p>
        </w:tc>
        <w:tc>
          <w:tcPr>
            <w:tcW w:type="dxa" w:w="5200"/>
            <w:shd w:fill="F5F7FA"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The list is filtered and uploaded to the simulation platform</w:t>
            </w:r>
          </w:p>
        </w:tc>
        <w:tc>
          <w:tcPr>
            <w:tcW w:type="dxa" w:w="3126"/>
            <w:shd w:fill="F5F7FA"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Email address and selected contextual attributes only</w:t>
            </w:r>
          </w:p>
        </w:tc>
      </w:tr>
      <w:tr>
        <w:trPr>
          <w:tblHeader w:val="false"/>
        </w:trPr>
        <w:tc>
          <w:tcPr>
            <w:tcW w:type="dxa" w:w="700"/>
            <w:shd w:fill="FFFFFF"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3</w:t>
            </w:r>
          </w:p>
        </w:tc>
        <w:tc>
          <w:tcPr>
            <w:tcW w:type="dxa" w:w="5200"/>
            <w:shd w:fill="FFFFFF"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Simulated messages are dispatched to the organisation’s mail servers</w:t>
            </w:r>
          </w:p>
        </w:tc>
        <w:tc>
          <w:tcPr>
            <w:tcW w:type="dxa" w:w="3126"/>
            <w:shd w:fill="FFFFFF"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Recipient addresses</w:t>
            </w:r>
          </w:p>
        </w:tc>
      </w:tr>
      <w:tr>
        <w:trPr>
          <w:tblHeader w:val="false"/>
        </w:trPr>
        <w:tc>
          <w:tcPr>
            <w:tcW w:type="dxa" w:w="700"/>
            <w:shd w:fill="F5F7FA"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4</w:t>
            </w:r>
          </w:p>
        </w:tc>
        <w:tc>
          <w:tcPr>
            <w:tcW w:type="dxa" w:w="5200"/>
            <w:shd w:fill="F5F7FA"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Messages are delivered to recipients</w:t>
            </w:r>
          </w:p>
        </w:tc>
        <w:tc>
          <w:tcPr>
            <w:tcW w:type="dxa" w:w="3126"/>
            <w:shd w:fill="F5F7FA"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w:t>
            </w:r>
          </w:p>
        </w:tc>
      </w:tr>
      <w:tr>
        <w:trPr>
          <w:tblHeader w:val="false"/>
        </w:trPr>
        <w:tc>
          <w:tcPr>
            <w:tcW w:type="dxa" w:w="700"/>
            <w:shd w:fill="FFFFFF"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5</w:t>
            </w:r>
          </w:p>
        </w:tc>
        <w:tc>
          <w:tcPr>
            <w:tcW w:type="dxa" w:w="5200"/>
            <w:shd w:fill="FFFFFF"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Interactions (open, click, submission) are recorded by the platform</w:t>
            </w:r>
          </w:p>
        </w:tc>
        <w:tc>
          <w:tcPr>
            <w:tcW w:type="dxa" w:w="3126"/>
            <w:shd w:fill="FFFFFF"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Recipient identifier, event type, timestamp, client data</w:t>
            </w:r>
          </w:p>
        </w:tc>
      </w:tr>
      <w:tr>
        <w:trPr>
          <w:tblHeader w:val="false"/>
        </w:trPr>
        <w:tc>
          <w:tcPr>
            <w:tcW w:type="dxa" w:w="700"/>
            <w:shd w:fill="F5F7FA"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6</w:t>
            </w:r>
          </w:p>
        </w:tc>
        <w:tc>
          <w:tcPr>
            <w:tcW w:type="dxa" w:w="5200"/>
            <w:shd w:fill="F5F7FA"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Reported messages are collected via the report button or reporting mailbox</w:t>
            </w:r>
          </w:p>
        </w:tc>
        <w:tc>
          <w:tcPr>
            <w:tcW w:type="dxa" w:w="3126"/>
            <w:shd w:fill="F5F7FA"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Reporter identifier, timestamp</w:t>
            </w:r>
          </w:p>
        </w:tc>
      </w:tr>
      <w:tr>
        <w:trPr>
          <w:tblHeader w:val="false"/>
        </w:trPr>
        <w:tc>
          <w:tcPr>
            <w:tcW w:type="dxa" w:w="700"/>
            <w:shd w:fill="FFFFFF"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7</w:t>
            </w:r>
          </w:p>
        </w:tc>
        <w:tc>
          <w:tcPr>
            <w:tcW w:type="dxa" w:w="5200"/>
            <w:shd w:fill="FFFFFF"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Results are exported at the end of the campaign for analysis</w:t>
            </w:r>
          </w:p>
        </w:tc>
        <w:tc>
          <w:tcPr>
            <w:tcW w:type="dxa" w:w="3126"/>
            <w:shd w:fill="FFFFFF"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Full event dataset</w:t>
            </w:r>
          </w:p>
        </w:tc>
      </w:tr>
      <w:tr>
        <w:trPr>
          <w:tblHeader w:val="false"/>
        </w:trPr>
        <w:tc>
          <w:tcPr>
            <w:tcW w:type="dxa" w:w="700"/>
            <w:shd w:fill="F5F7FA"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8</w:t>
            </w:r>
          </w:p>
        </w:tc>
        <w:tc>
          <w:tcPr>
            <w:tcW w:type="dxa" w:w="5200"/>
            <w:shd w:fill="F5F7FA"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An aggregated report is produced for senior management</w:t>
            </w:r>
          </w:p>
        </w:tc>
        <w:tc>
          <w:tcPr>
            <w:tcW w:type="dxa" w:w="3126"/>
            <w:shd w:fill="F5F7FA"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Group-level statistics only — no individual identifiers</w:t>
            </w:r>
          </w:p>
        </w:tc>
      </w:tr>
      <w:tr>
        <w:trPr>
          <w:tblHeader w:val="false"/>
        </w:trPr>
        <w:tc>
          <w:tcPr>
            <w:tcW w:type="dxa" w:w="700"/>
            <w:shd w:fill="FFFFFF"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9</w:t>
            </w:r>
          </w:p>
        </w:tc>
        <w:tc>
          <w:tcPr>
            <w:tcW w:type="dxa" w:w="5200"/>
            <w:shd w:fill="FFFFFF"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Where applicable, line managers receive results for their own team under the rules in section 6</w:t>
            </w:r>
          </w:p>
        </w:tc>
        <w:tc>
          <w:tcPr>
            <w:tcW w:type="dxa" w:w="3126"/>
            <w:shd w:fill="FFFFFF"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As defined in section 6</w:t>
            </w:r>
          </w:p>
        </w:tc>
      </w:tr>
      <w:tr>
        <w:trPr>
          <w:tblHeader w:val="false"/>
        </w:trPr>
        <w:tc>
          <w:tcPr>
            <w:tcW w:type="dxa" w:w="700"/>
            <w:shd w:fill="F5F7FA"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10</w:t>
            </w:r>
          </w:p>
        </w:tc>
        <w:tc>
          <w:tcPr>
            <w:tcW w:type="dxa" w:w="5200"/>
            <w:shd w:fill="F5F7FA"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Root causes are fed back into the training and control plan</w:t>
            </w:r>
          </w:p>
        </w:tc>
        <w:tc>
          <w:tcPr>
            <w:tcW w:type="dxa" w:w="3126"/>
            <w:shd w:fill="F5F7FA" w:val="clear"/>
            <w:tcMar>
              <w:top w:type="dxa" w:w="90"/>
              <w:left w:type="dxa" w:w="140"/>
              <w:bottom w:type="dxa" w:w="90"/>
              <w:right w:type="dxa" w:w="140"/>
            </w:tcMar>
          </w:tcPr>
          <w:p>
            <w:pPr>
              <w:spacing w:after="0" w:line="252"/>
            </w:pPr>
            <w:r>
              <w:rPr>
                <w:rFonts w:ascii="Roboto Flex" w:cs="Roboto Flex" w:eastAsia="Roboto Flex" w:hAnsi="Roboto Flex"/>
                <w:b w:val="false"/>
                <w:bCs w:val="false"/>
                <w:color w:val="2A3B42"/>
                <w:sz w:val="20"/>
                <w:szCs w:val="20"/>
              </w:rPr>
              <w:t xml:space="preserve">Anonymised findings</w:t>
            </w:r>
          </w:p>
        </w:tc>
      </w:tr>
    </w:tbl>
    <w:p>
      <w:pPr>
        <w:pStyle w:val="Heading1"/>
        <w:spacing w:after="200" w:before="360"/>
      </w:pPr>
      <w:r>
        <w:rPr>
          <w:rFonts w:ascii="Poppins" w:cs="Poppins" w:eastAsia="Poppins" w:hAnsi="Poppins"/>
          <w:b/>
          <w:bCs/>
          <w:color w:val="1A4E5A"/>
          <w:sz w:val="32"/>
          <w:szCs w:val="32"/>
        </w:rPr>
        <w:t xml:space="preserve">5  Access, Storage and Retention</w:t>
      </w:r>
    </w:p>
    <w:p>
      <w:pPr>
        <w:pStyle w:val="ListParagraph"/>
        <w:numPr>
          <w:ilvl w:val="0"/>
          <w:numId w:val="2"/>
        </w:numPr>
        <w:spacing w:after="100" w:line="276"/>
      </w:pPr>
      <w:r>
        <w:rPr>
          <w:rFonts w:ascii="Roboto Flex" w:cs="Roboto Flex" w:eastAsia="Roboto Flex" w:hAnsi="Roboto Flex"/>
          <w:color w:val="1F2937"/>
          <w:sz w:val="22"/>
          <w:szCs w:val="22"/>
        </w:rPr>
        <w:t xml:space="preserve">Raw, individually identifiable data is accessible only to the &lt;SECURITY TEAM&gt; — a named group of no more than &lt;N&gt; people. Access is logged.</w:t>
      </w:r>
    </w:p>
    <w:p>
      <w:pPr>
        <w:pStyle w:val="ListParagraph"/>
        <w:numPr>
          <w:ilvl w:val="0"/>
          <w:numId w:val="2"/>
        </w:numPr>
        <w:spacing w:after="100" w:line="276"/>
      </w:pPr>
      <w:r>
        <w:rPr>
          <w:rFonts w:ascii="Roboto Flex" w:cs="Roboto Flex" w:eastAsia="Roboto Flex" w:hAnsi="Roboto Flex"/>
          <w:color w:val="1F2937"/>
          <w:sz w:val="22"/>
          <w:szCs w:val="22"/>
        </w:rPr>
        <w:t xml:space="preserve">The simulation platform is operated by &lt;PROVIDER&gt; under a data processing agreement. Data is hosted in &lt;REGION&gt;. Sub-processors are listed at &lt;REFERENCE&gt;.</w:t>
      </w:r>
    </w:p>
    <w:p>
      <w:pPr>
        <w:pStyle w:val="ListParagraph"/>
        <w:numPr>
          <w:ilvl w:val="0"/>
          <w:numId w:val="2"/>
        </w:numPr>
        <w:spacing w:after="100" w:line="276"/>
      </w:pPr>
      <w:r>
        <w:rPr>
          <w:rFonts w:ascii="Roboto Flex" w:cs="Roboto Flex" w:eastAsia="Roboto Flex" w:hAnsi="Roboto Flex"/>
          <w:color w:val="1F2937"/>
          <w:sz w:val="22"/>
          <w:szCs w:val="22"/>
        </w:rPr>
        <w:t xml:space="preserve">Detailed results are retained for &lt;N&gt; months, after which they are deleted or irreversibly anonymised. Aggregated statistics may be retained indefinitely, as they contain no personal data.</w:t>
      </w:r>
    </w:p>
    <w:p>
      <w:pPr>
        <w:pStyle w:val="ListParagraph"/>
        <w:numPr>
          <w:ilvl w:val="0"/>
          <w:numId w:val="2"/>
        </w:numPr>
        <w:spacing w:after="100" w:line="276"/>
      </w:pPr>
      <w:r>
        <w:rPr>
          <w:rFonts w:ascii="Roboto Flex" w:cs="Roboto Flex" w:eastAsia="Roboto Flex" w:hAnsi="Roboto Flex"/>
          <w:color w:val="1F2937"/>
          <w:sz w:val="22"/>
          <w:szCs w:val="22"/>
        </w:rPr>
        <w:t xml:space="preserve">Credentials entered on a simulated page are discarded at the point of capture. The fact of submission is recorded; the value never is.</w:t>
      </w:r>
    </w:p>
    <w:p>
      <w:pPr>
        <w:pStyle w:val="ListParagraph"/>
        <w:numPr>
          <w:ilvl w:val="0"/>
          <w:numId w:val="2"/>
        </w:numPr>
        <w:spacing w:after="100" w:line="276"/>
      </w:pPr>
      <w:r>
        <w:rPr>
          <w:rFonts w:ascii="Roboto Flex" w:cs="Roboto Flex" w:eastAsia="Roboto Flex" w:hAnsi="Roboto Flex"/>
          <w:color w:val="1F2937"/>
          <w:sz w:val="22"/>
          <w:szCs w:val="22"/>
        </w:rPr>
        <w:t xml:space="preserve">Pseudonymised datasets may be shared with academic researchers under a written agreement, where doing so advances understanding of phishing detection.</w:t>
      </w:r>
    </w:p>
    <w:p>
      <w:pPr>
        <w:pStyle w:val="Heading1"/>
        <w:spacing w:after="200" w:before="360"/>
      </w:pPr>
      <w:r>
        <w:rPr>
          <w:rFonts w:ascii="Poppins" w:cs="Poppins" w:eastAsia="Poppins" w:hAnsi="Poppins"/>
          <w:b/>
          <w:bCs/>
          <w:color w:val="1A4E5A"/>
          <w:sz w:val="32"/>
          <w:szCs w:val="32"/>
        </w:rPr>
        <w:t xml:space="preserve">6  Use of Results</w:t>
      </w:r>
    </w:p>
    <w:p>
      <w:pPr>
        <w:spacing w:after="160" w:line="276"/>
      </w:pPr>
      <w:r>
        <w:rPr>
          <w:rFonts w:ascii="Roboto Flex" w:cs="Roboto Flex" w:eastAsia="Roboto Flex" w:hAnsi="Roboto Flex"/>
          <w:color w:val="1F2937"/>
          <w:sz w:val="22"/>
          <w:szCs w:val="22"/>
        </w:rPr>
        <w:t xml:space="preserve">This is the section your employee representatives will read most carefully, and the one on which the credibility of the whole programme rests. State your position explicitly and then honour it without exception.</w:t>
      </w:r>
    </w:p>
    <w:p>
      <w:pPr>
        <w:spacing w:after="160" w:line="276"/>
      </w:pPr>
      <w:r>
        <w:rPr>
          <w:rFonts w:ascii="Roboto Flex" w:cs="Roboto Flex" w:eastAsia="Roboto Flex" w:hAnsi="Roboto Flex"/>
          <w:color w:val="1F2937"/>
          <w:sz w:val="22"/>
          <w:szCs w:val="22"/>
        </w:rPr>
        <w:t xml:space="preserve">Recommended position: individual results are used solely to offer support and targeted training. They are not used for performance appraisal, disciplinary measures, or any decision affecting employment. Management reporting is aggregated at organisational-unit level. Where line managers receive team-level results, they receive them together with the manager briefing and are bound by the same restriction.</w:t>
      </w:r>
    </w:p>
    <w:p>
      <w:pPr>
        <w:spacing w:after="160" w:line="276"/>
      </w:pPr>
      <w:r>
        <w:rPr>
          <w:rFonts w:ascii="Roboto Flex" w:cs="Roboto Flex" w:eastAsia="Roboto Flex" w:hAnsi="Roboto Flex"/>
          <w:color w:val="1F2937"/>
          <w:sz w:val="22"/>
          <w:szCs w:val="22"/>
        </w:rPr>
        <w:t xml:space="preserve">Some organisations do link security behaviour to individual objectives. If yours intends to, it must be decided in advance, written into policy, communicated to staff before the first exercise, and cleared with legal counsel and employee representatives — the principle of nulla poena sine lege applies. Be aware of the trade-off: linking results to appraisal reliably suppresses reporting, because people who fear consequences go quiet. Reporting is the behaviour that actually protects the organisation, so this is usually a poor bargain.</w:t>
      </w:r>
    </w:p>
    <w:p>
      <w:pPr>
        <w:spacing w:after="160" w:line="276"/>
      </w:pPr>
      <w:r>
        <w:rPr>
          <w:rFonts w:ascii="Roboto Flex" w:cs="Roboto Flex" w:eastAsia="Roboto Flex" w:hAnsi="Roboto Flex"/>
          <w:color w:val="1F2937"/>
          <w:sz w:val="22"/>
          <w:szCs w:val="22"/>
        </w:rPr>
        <w:t xml:space="preserve">The following behaviours are treated as compliant:</w:t>
      </w:r>
    </w:p>
    <w:p>
      <w:pPr>
        <w:pStyle w:val="ListParagraph"/>
        <w:numPr>
          <w:ilvl w:val="0"/>
          <w:numId w:val="2"/>
        </w:numPr>
        <w:spacing w:after="100" w:line="276"/>
      </w:pPr>
      <w:r>
        <w:rPr>
          <w:rFonts w:ascii="Roboto Flex" w:cs="Roboto Flex" w:eastAsia="Roboto Flex" w:hAnsi="Roboto Flex"/>
          <w:color w:val="1F2937"/>
          <w:sz w:val="22"/>
          <w:szCs w:val="22"/>
        </w:rPr>
        <w:t xml:space="preserve">opening a message, recognising it, and reporting it;</w:t>
      </w:r>
    </w:p>
    <w:p>
      <w:pPr>
        <w:pStyle w:val="ListParagraph"/>
        <w:numPr>
          <w:ilvl w:val="0"/>
          <w:numId w:val="2"/>
        </w:numPr>
        <w:spacing w:after="100" w:line="276"/>
      </w:pPr>
      <w:r>
        <w:rPr>
          <w:rFonts w:ascii="Roboto Flex" w:cs="Roboto Flex" w:eastAsia="Roboto Flex" w:hAnsi="Roboto Flex"/>
          <w:color w:val="1F2937"/>
          <w:sz w:val="22"/>
          <w:szCs w:val="22"/>
        </w:rPr>
        <w:t xml:space="preserve">opening a message, clicking, receiving the feedback, and then reporting it — an occasional click is treated as unintentional;</w:t>
      </w:r>
    </w:p>
    <w:p>
      <w:pPr>
        <w:pStyle w:val="ListParagraph"/>
        <w:numPr>
          <w:ilvl w:val="0"/>
          <w:numId w:val="2"/>
        </w:numPr>
        <w:spacing w:after="100" w:line="276"/>
      </w:pPr>
      <w:r>
        <w:rPr>
          <w:rFonts w:ascii="Roboto Flex" w:cs="Roboto Flex" w:eastAsia="Roboto Flex" w:hAnsi="Roboto Flex"/>
          <w:color w:val="1F2937"/>
          <w:sz w:val="22"/>
          <w:szCs w:val="22"/>
        </w:rPr>
        <w:t xml:space="preserve">deleting the message without opening it, on the basis of the sender or subject.</w:t>
      </w:r>
    </w:p>
    <w:p>
      <w:pPr>
        <w:spacing w:after="160" w:line="276"/>
      </w:pPr>
      <w:r>
        <w:rPr>
          <w:rFonts w:ascii="Roboto Flex" w:cs="Roboto Flex" w:eastAsia="Roboto Flex" w:hAnsi="Roboto Flex"/>
          <w:color w:val="1F2937"/>
          <w:sz w:val="22"/>
          <w:szCs w:val="22"/>
        </w:rPr>
        <w:t xml:space="preserve">The following are treated as non-compliant, and trigger support rather than sanction:</w:t>
      </w:r>
    </w:p>
    <w:p>
      <w:pPr>
        <w:pStyle w:val="ListParagraph"/>
        <w:numPr>
          <w:ilvl w:val="0"/>
          <w:numId w:val="2"/>
        </w:numPr>
        <w:spacing w:after="100" w:line="276"/>
      </w:pPr>
      <w:r>
        <w:rPr>
          <w:rFonts w:ascii="Roboto Flex" w:cs="Roboto Flex" w:eastAsia="Roboto Flex" w:hAnsi="Roboto Flex"/>
          <w:color w:val="1F2937"/>
          <w:sz w:val="22"/>
          <w:szCs w:val="22"/>
        </w:rPr>
        <w:t xml:space="preserve">opening a message and neither reporting nor deleting it;</w:t>
      </w:r>
    </w:p>
    <w:p>
      <w:pPr>
        <w:pStyle w:val="ListParagraph"/>
        <w:numPr>
          <w:ilvl w:val="0"/>
          <w:numId w:val="2"/>
        </w:numPr>
        <w:spacing w:after="100" w:line="276"/>
      </w:pPr>
      <w:r>
        <w:rPr>
          <w:rFonts w:ascii="Roboto Flex" w:cs="Roboto Flex" w:eastAsia="Roboto Flex" w:hAnsi="Roboto Flex"/>
          <w:color w:val="1F2937"/>
          <w:sz w:val="22"/>
          <w:szCs w:val="22"/>
        </w:rPr>
        <w:t xml:space="preserve">clicking, receiving the immediate feedback, and still not reporting it.</w:t>
      </w:r>
    </w:p>
    <w:p>
      <w:pPr>
        <w:spacing w:after="160" w:line="276"/>
      </w:pPr>
      <w:r>
        <w:rPr>
          <w:rFonts w:ascii="Roboto Flex" w:cs="Roboto Flex" w:eastAsia="Roboto Flex" w:hAnsi="Roboto Flex"/>
          <w:color w:val="1F2937"/>
          <w:sz w:val="22"/>
          <w:szCs w:val="22"/>
        </w:rPr>
        <w:t xml:space="preserve">Where an individual fails repeatedly, the conversation is a supportive one: what makes this hard? Workload, unclear processes, a mail client that hides sender addresses, or a role that receives constant legitimate external mail are all far more common explanations than carelessness — and all are the organisation’s problem to solve. Conversely, colleagues who consistently report may reasonably receive less mandatory training than others.</w:t>
      </w:r>
    </w:p>
    <w:p>
      <w:pPr>
        <w:pStyle w:val="Heading1"/>
        <w:spacing w:after="200" w:before="360"/>
      </w:pPr>
      <w:r>
        <w:rPr>
          <w:rFonts w:ascii="Poppins" w:cs="Poppins" w:eastAsia="Poppins" w:hAnsi="Poppins"/>
          <w:b/>
          <w:bCs/>
          <w:color w:val="1A4E5A"/>
          <w:sz w:val="32"/>
          <w:szCs w:val="32"/>
        </w:rPr>
        <w:t xml:space="preserve">7  Rights of Individuals</w:t>
      </w:r>
    </w:p>
    <w:p>
      <w:pPr>
        <w:spacing w:after="160" w:line="276"/>
      </w:pPr>
      <w:r>
        <w:rPr>
          <w:rFonts w:ascii="Roboto Flex" w:cs="Roboto Flex" w:eastAsia="Roboto Flex" w:hAnsi="Roboto Flex"/>
          <w:color w:val="1F2937"/>
          <w:sz w:val="22"/>
          <w:szCs w:val="22"/>
        </w:rPr>
        <w:t xml:space="preserve">Staff retain their full rights under applicable data protection law, including the rights of access, rectification, erasure, restriction and objection. Requests are handled by &lt;DPO CONTACT&gt; under the organisation’s standard procedure. The programme communications, together with this notice, constitute the transparency information required at the point of collection.</w:t>
      </w:r>
    </w:p>
    <w:p>
      <w:pPr>
        <w:pStyle w:val="Heading1"/>
        <w:spacing w:after="200" w:before="360"/>
      </w:pPr>
      <w:r>
        <w:rPr>
          <w:rFonts w:ascii="Poppins" w:cs="Poppins" w:eastAsia="Poppins" w:hAnsi="Poppins"/>
          <w:b/>
          <w:bCs/>
          <w:color w:val="1A4E5A"/>
          <w:sz w:val="32"/>
          <w:szCs w:val="32"/>
        </w:rPr>
        <w:t xml:space="preserve">8  Review</w:t>
      </w:r>
    </w:p>
    <w:p>
      <w:pPr>
        <w:spacing w:after="160" w:line="276"/>
      </w:pPr>
      <w:r>
        <w:rPr>
          <w:rFonts w:ascii="Roboto Flex" w:cs="Roboto Flex" w:eastAsia="Roboto Flex" w:hAnsi="Roboto Flex"/>
          <w:color w:val="1F2937"/>
          <w:sz w:val="22"/>
          <w:szCs w:val="22"/>
        </w:rPr>
        <w:t xml:space="preserve">This notice is reviewed annually by the &lt;DPO&gt; and the Phishing Advisory Board, and whenever the platform, the data flow or the retention period changes.</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6DC" w:sz="4" w:space="4"/>
      </w:pBdr>
      <w:tabs>
        <w:tab w:val="right" w:pos="9026"/>
      </w:tabs>
    </w:pPr>
    <w:r>
      <w:rPr>
        <w:rFonts w:ascii="Roboto Flex" w:cs="Roboto Flex" w:eastAsia="Roboto Flex" w:hAnsi="Roboto Flex"/>
        <w:color w:val="6B7280"/>
        <w:sz w:val="16"/>
        <w:szCs w:val="16"/>
      </w:rPr>
      <w:t xml:space="preserve">Template from “Get Phishing Under Control” — Emmanuel Nicaise · getphishingundercontrol.com</w:t>
    </w:r>
    <w:r>
      <w:rPr>
        <w:rFonts w:ascii="Roboto Flex" w:cs="Roboto Flex" w:eastAsia="Roboto Flex" w:hAnsi="Roboto Flex"/>
        <w:color w:val="6B7280"/>
        <w:sz w:val="16"/>
        <w:szCs w:val="16"/>
      </w:rPr>
      <w:t xml:space="preserve">	</w:t>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3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Roboto Flex" w:cs="Roboto Flex" w:eastAsia="Roboto Flex" w:hAnsi="Roboto Flex"/>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2026-08-01T13:43:18.306Z</dcterms:created>
  <dcterms:modified xsi:type="dcterms:W3CDTF">2026-08-01T13:43:18.306Z</dcterms:modified>
</cp:coreProperties>
</file>

<file path=docProps/custom.xml><?xml version="1.0" encoding="utf-8"?>
<Properties xmlns="http://schemas.openxmlformats.org/officeDocument/2006/custom-properties" xmlns:vt="http://schemas.openxmlformats.org/officeDocument/2006/docPropsVTypes"/>
</file>