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Poppins" w:cs="Poppins" w:eastAsia="Poppins" w:hAnsi="Poppins"/>
          <w:b/>
          <w:bCs/>
          <w:color w:val="1A4E5A"/>
          <w:sz w:val="20"/>
          <w:szCs w:val="20"/>
        </w:rPr>
        <w:t xml:space="preserve">GET </w:t>
      </w:r>
      <w:r>
        <w:rPr>
          <w:rFonts w:ascii="Poppins" w:cs="Poppins" w:eastAsia="Poppins" w:hAnsi="Poppins"/>
          <w:b/>
          <w:bCs/>
          <w:color w:val="F19A3E"/>
          <w:sz w:val="20"/>
          <w:szCs w:val="20"/>
        </w:rPr>
        <w:t xml:space="preserve">PHISHING </w:t>
      </w:r>
      <w:r>
        <w:rPr>
          <w:rFonts w:ascii="Poppins" w:cs="Poppins" w:eastAsia="Poppins" w:hAnsi="Poppins"/>
          <w:b/>
          <w:bCs/>
          <w:color w:val="1A4E5A"/>
          <w:sz w:val="20"/>
          <w:szCs w:val="20"/>
        </w:rPr>
        <w:t xml:space="preserve">UNDER </w:t>
      </w:r>
      <w:r>
        <w:rPr>
          <w:rFonts w:ascii="Poppins" w:cs="Poppins" w:eastAsia="Poppins" w:hAnsi="Poppins"/>
          <w:b/>
          <w:bCs/>
          <w:color w:val="A3D948"/>
          <w:sz w:val="20"/>
          <w:szCs w:val="20"/>
        </w:rPr>
        <w:t xml:space="preserve">CONTROL</w:t>
      </w:r>
      <w:r>
        <w:rPr>
          <w:rFonts w:ascii="Roboto Flex" w:cs="Roboto Flex" w:eastAsia="Roboto Flex" w:hAnsi="Roboto Flex"/>
          <w:color w:val="6B7280"/>
          <w:sz w:val="20"/>
          <w:szCs w:val="20"/>
        </w:rPr>
        <w:t xml:space="preserve">  ·  Programme template</w:t>
      </w:r>
    </w:p>
    <w:p>
      <w:pPr>
        <w:pBdr>
          <w:bottom w:val="single" w:color="A3D948" w:sz="12" w:space="4"/>
        </w:pBdr>
        <w:spacing w:after="80"/>
      </w:pPr>
      <w:r>
        <w:rPr>
          <w:rFonts w:ascii="Poppins" w:cs="Poppins" w:eastAsia="Poppins" w:hAnsi="Poppins"/>
          <w:b/>
          <w:bCs/>
          <w:color w:val="1A4E5A"/>
          <w:sz w:val="44"/>
          <w:szCs w:val="44"/>
        </w:rPr>
        <w:t xml:space="preserve">Code of Ethics for Phishing Exercises</w:t>
      </w:r>
    </w:p>
    <w:p>
      <w:pPr>
        <w:spacing w:after="300"/>
      </w:pPr>
      <w:r>
        <w:rPr>
          <w:rFonts w:ascii="Roboto Flex" w:cs="Roboto Flex" w:eastAsia="Roboto Flex" w:hAnsi="Roboto Flex"/>
          <w:i/>
          <w:iCs/>
          <w:color w:val="6B7280"/>
          <w:sz w:val="22"/>
          <w:szCs w:val="22"/>
        </w:rPr>
        <w:t xml:space="preserve">A short, publishable document. Its value comes from being shared: give it to the works council, to management, and to staff. It is the clearest possible evidence that the programme has boundaries and that someone thought about them in advance. Adapt, get it approved by the Advisory Board, and review it annually.</w:t>
      </w:r>
    </w:p>
    <w:p>
      <w:pPr>
        <w:pStyle w:val="Heading1"/>
        <w:spacing w:after="200" w:before="360"/>
      </w:pPr>
      <w:r>
        <w:rPr>
          <w:rFonts w:ascii="Poppins" w:cs="Poppins" w:eastAsia="Poppins" w:hAnsi="Poppins"/>
          <w:b/>
          <w:bCs/>
          <w:color w:val="1A4E5A"/>
          <w:sz w:val="32"/>
          <w:szCs w:val="32"/>
        </w:rPr>
        <w:t xml:space="preserve">1  Purpose and Scope</w:t>
      </w:r>
    </w:p>
    <w:p>
      <w:pPr>
        <w:spacing w:after="160" w:line="276"/>
      </w:pPr>
      <w:r>
        <w:rPr>
          <w:rFonts w:ascii="Roboto Flex" w:cs="Roboto Flex" w:eastAsia="Roboto Flex" w:hAnsi="Roboto Flex"/>
          <w:color w:val="1F2937"/>
          <w:sz w:val="22"/>
          <w:szCs w:val="22"/>
        </w:rPr>
        <w:t xml:space="preserve">This code applies to all phishing, smishing and other social-engineering exercises conducted by or on behalf of &lt;ORGANISATION&gt;. It defines what may be done, what is prohibited, and the principles governing the treatment of the people who take part.</w:t>
      </w:r>
    </w:p>
    <w:p>
      <w:pPr>
        <w:spacing w:after="160" w:line="276"/>
      </w:pPr>
      <w:r>
        <w:rPr>
          <w:rFonts w:ascii="Roboto Flex" w:cs="Roboto Flex" w:eastAsia="Roboto Flex" w:hAnsi="Roboto Flex"/>
          <w:color w:val="1F2937"/>
          <w:sz w:val="22"/>
          <w:szCs w:val="22"/>
        </w:rPr>
        <w:t xml:space="preserve">Real attackers observe no boundaries. Their only limits are their understanding of human cognition and their creativity, and the belief that sophisticated attacks only happen in films is itself a reason people fail to spot them. Our exercises must therefore be realistic enough to train effectively. Realism is not, however, a licence to cause harm: the boundaries below apply without exception.</w:t>
      </w:r>
    </w:p>
    <w:p>
      <w:pPr>
        <w:pStyle w:val="Heading1"/>
        <w:spacing w:after="200" w:before="360"/>
      </w:pPr>
      <w:r>
        <w:rPr>
          <w:rFonts w:ascii="Poppins" w:cs="Poppins" w:eastAsia="Poppins" w:hAnsi="Poppins"/>
          <w:b/>
          <w:bCs/>
          <w:color w:val="1A4E5A"/>
          <w:sz w:val="32"/>
          <w:szCs w:val="32"/>
        </w:rPr>
        <w:t xml:space="preserve">2  Objectives of the Exercise Programme</w:t>
      </w:r>
    </w:p>
    <w:p>
      <w:pPr>
        <w:spacing w:after="160" w:line="276"/>
      </w:pPr>
      <w:r>
        <w:rPr>
          <w:rFonts w:ascii="Roboto Flex" w:cs="Roboto Flex" w:eastAsia="Roboto Flex" w:hAnsi="Roboto Flex"/>
          <w:color w:val="1F2937"/>
          <w:sz w:val="22"/>
          <w:szCs w:val="22"/>
        </w:rPr>
        <w:t xml:space="preserve">Exercises are conducted in order to:</w:t>
      </w:r>
    </w:p>
    <w:p>
      <w:pPr>
        <w:pStyle w:val="ListParagraph"/>
        <w:numPr>
          <w:ilvl w:val="0"/>
          <w:numId w:val="2"/>
        </w:numPr>
        <w:spacing w:after="100" w:line="276"/>
      </w:pPr>
      <w:r>
        <w:rPr>
          <w:rFonts w:ascii="Roboto Flex" w:cs="Roboto Flex" w:eastAsia="Roboto Flex" w:hAnsi="Roboto Flex"/>
          <w:color w:val="1F2937"/>
          <w:sz w:val="22"/>
          <w:szCs w:val="22"/>
        </w:rPr>
        <w:t xml:space="preserve">estimate the likelihood of successful phishing exploitation against our people, and monitor whether our mitigations are working;</w:t>
      </w:r>
    </w:p>
    <w:p>
      <w:pPr>
        <w:pStyle w:val="ListParagraph"/>
        <w:numPr>
          <w:ilvl w:val="0"/>
          <w:numId w:val="2"/>
        </w:numPr>
        <w:spacing w:after="100" w:line="276"/>
      </w:pPr>
      <w:r>
        <w:rPr>
          <w:rFonts w:ascii="Roboto Flex" w:cs="Roboto Flex" w:eastAsia="Roboto Flex" w:hAnsi="Roboto Flex"/>
          <w:color w:val="1F2937"/>
          <w:sz w:val="22"/>
          <w:szCs w:val="22"/>
        </w:rPr>
        <w:t xml:space="preserve">give colleagues realistic practice, so that recognising a suspicious message becomes a reflex rather than an act of concentration;</w:t>
      </w:r>
    </w:p>
    <w:p>
      <w:pPr>
        <w:pStyle w:val="ListParagraph"/>
        <w:numPr>
          <w:ilvl w:val="0"/>
          <w:numId w:val="2"/>
        </w:numPr>
        <w:spacing w:after="100" w:line="276"/>
      </w:pPr>
      <w:r>
        <w:rPr>
          <w:rFonts w:ascii="Roboto Flex" w:cs="Roboto Flex" w:eastAsia="Roboto Flex" w:hAnsi="Roboto Flex"/>
          <w:color w:val="1F2937"/>
          <w:sz w:val="22"/>
          <w:szCs w:val="22"/>
        </w:rPr>
        <w:t xml:space="preserve">increase the rate and speed of reporting to &lt;SECURITY CONTACT&gt;, so that targeted attacks do not go unnoticed;</w:t>
      </w:r>
    </w:p>
    <w:p>
      <w:pPr>
        <w:pStyle w:val="ListParagraph"/>
        <w:numPr>
          <w:ilvl w:val="0"/>
          <w:numId w:val="2"/>
        </w:numPr>
        <w:spacing w:after="100" w:line="276"/>
      </w:pPr>
      <w:r>
        <w:rPr>
          <w:rFonts w:ascii="Roboto Flex" w:cs="Roboto Flex" w:eastAsia="Roboto Flex" w:hAnsi="Roboto Flex"/>
          <w:color w:val="1F2937"/>
          <w:sz w:val="22"/>
          <w:szCs w:val="22"/>
        </w:rPr>
        <w:t xml:space="preserve">provide targeted follow-up training to those who would benefit from it;</w:t>
      </w:r>
    </w:p>
    <w:p>
      <w:pPr>
        <w:pStyle w:val="ListParagraph"/>
        <w:numPr>
          <w:ilvl w:val="0"/>
          <w:numId w:val="2"/>
        </w:numPr>
        <w:spacing w:after="100" w:line="276"/>
      </w:pPr>
      <w:r>
        <w:rPr>
          <w:rFonts w:ascii="Roboto Flex" w:cs="Roboto Flex" w:eastAsia="Roboto Flex" w:hAnsi="Roboto Flex"/>
          <w:color w:val="1F2937"/>
          <w:sz w:val="22"/>
          <w:szCs w:val="22"/>
        </w:rPr>
        <w:t xml:space="preserve">improve our understanding of the mechanisms involved in phishing detection, so that effort goes to the controls that actually help — whether that is training, a change to a user interface, or a process simplification.</w:t>
      </w:r>
    </w:p>
    <w:p>
      <w:pPr>
        <w:spacing w:after="160" w:line="276"/>
      </w:pPr>
      <w:r>
        <w:rPr>
          <w:rFonts w:ascii="Roboto Flex" w:cs="Roboto Flex" w:eastAsia="Roboto Flex" w:hAnsi="Roboto Flex"/>
          <w:color w:val="1F2937"/>
          <w:sz w:val="22"/>
          <w:szCs w:val="22"/>
        </w:rPr>
        <w:t xml:space="preserve">Exercises are not conducted in order to catch people out, to rank individuals, to build a case against anyone, or to generate a favourable statistic for reporting purposes.</w:t>
      </w:r>
    </w:p>
    <w:p>
      <w:pPr>
        <w:pStyle w:val="Heading1"/>
        <w:spacing w:after="200" w:before="360"/>
      </w:pPr>
      <w:r>
        <w:rPr>
          <w:rFonts w:ascii="Poppins" w:cs="Poppins" w:eastAsia="Poppins" w:hAnsi="Poppins"/>
          <w:b/>
          <w:bCs/>
          <w:color w:val="1A4E5A"/>
          <w:sz w:val="32"/>
          <w:szCs w:val="32"/>
        </w:rPr>
        <w:t xml:space="preserve">3  Boundaries — What Is Prohibited</w:t>
      </w:r>
    </w:p>
    <w:p>
      <w:pPr>
        <w:pStyle w:val="Heading2"/>
        <w:spacing w:after="160" w:before="300"/>
      </w:pPr>
      <w:r>
        <w:rPr>
          <w:rFonts w:ascii="Poppins" w:cs="Poppins" w:eastAsia="Poppins" w:hAnsi="Poppins"/>
          <w:b/>
          <w:bCs/>
          <w:color w:val="F19A3E"/>
          <w:sz w:val="26"/>
          <w:szCs w:val="26"/>
        </w:rPr>
        <w:t xml:space="preserve">Impersonation of real people</w:t>
      </w:r>
    </w:p>
    <w:p>
      <w:pPr>
        <w:spacing w:after="160" w:line="276"/>
      </w:pPr>
      <w:r>
        <w:rPr>
          <w:rFonts w:ascii="Roboto Flex" w:cs="Roboto Flex" w:eastAsia="Roboto Flex" w:hAnsi="Roboto Flex"/>
          <w:color w:val="1F2937"/>
          <w:sz w:val="22"/>
          <w:szCs w:val="22"/>
        </w:rPr>
        <w:t xml:space="preserve">Sender names are trivially spoofed, and using the name of a colleague or a known contact is realistic. It is nevertheless permitted only with the prior written consent of the person impersonated, limited in time and to a scope explained to them in advance. The same rule applies to anyone named in the body of the message or placed in copy: they must be informed and must consent before the message is sent.</w:t>
      </w:r>
    </w:p>
    <w:p>
      <w:pPr>
        <w:pStyle w:val="Heading2"/>
        <w:spacing w:after="160" w:before="300"/>
      </w:pPr>
      <w:r>
        <w:rPr>
          <w:rFonts w:ascii="Poppins" w:cs="Poppins" w:eastAsia="Poppins" w:hAnsi="Poppins"/>
          <w:b/>
          <w:bCs/>
          <w:color w:val="F19A3E"/>
          <w:sz w:val="26"/>
          <w:szCs w:val="26"/>
        </w:rPr>
        <w:t xml:space="preserve">Threats, fear and coercion</w:t>
      </w:r>
    </w:p>
    <w:p>
      <w:pPr>
        <w:spacing w:after="160" w:line="276"/>
      </w:pPr>
      <w:r>
        <w:rPr>
          <w:rFonts w:ascii="Roboto Flex" w:cs="Roboto Flex" w:eastAsia="Roboto Flex" w:hAnsi="Roboto Flex"/>
          <w:color w:val="1F2937"/>
          <w:sz w:val="22"/>
          <w:szCs w:val="22"/>
        </w:rPr>
        <w:t xml:space="preserve">Scenarios using threats to life or safety, blackmail, or fear as their primary driver are prohibited. Beyond being unethical and potentially harmful to the recipient’s wellbeing, they serve no educational purpose: prior exposure to a simulated threat does not make a real one less effective. Managers should instead create an environment in which staff can report genuine threats or blackmail attempts to them.</w:t>
      </w:r>
    </w:p>
    <w:p>
      <w:pPr>
        <w:pStyle w:val="Heading2"/>
        <w:spacing w:after="160" w:before="300"/>
      </w:pPr>
      <w:r>
        <w:rPr>
          <w:rFonts w:ascii="Poppins" w:cs="Poppins" w:eastAsia="Poppins" w:hAnsi="Poppins"/>
          <w:b/>
          <w:bCs/>
          <w:color w:val="F19A3E"/>
          <w:sz w:val="26"/>
          <w:szCs w:val="26"/>
        </w:rPr>
        <w:t xml:space="preserve">Sensitive personal data</w:t>
      </w:r>
    </w:p>
    <w:p>
      <w:pPr>
        <w:spacing w:after="160" w:line="276"/>
      </w:pPr>
      <w:r>
        <w:rPr>
          <w:rFonts w:ascii="Roboto Flex" w:cs="Roboto Flex" w:eastAsia="Roboto Flex" w:hAnsi="Roboto Flex"/>
          <w:color w:val="1F2937"/>
          <w:sz w:val="22"/>
          <w:szCs w:val="22"/>
        </w:rPr>
        <w:t xml:space="preserve">Criminals will use anything they can learn about a target — religion, political views, health, criminal record, sexual orientation, ethnicity, financial difficulty. An ethical exercise will not. Such data must never be used to select targets or to construct scenarios.</w:t>
      </w:r>
    </w:p>
    <w:p>
      <w:pPr>
        <w:pStyle w:val="Heading2"/>
        <w:spacing w:after="160" w:before="300"/>
      </w:pPr>
      <w:r>
        <w:rPr>
          <w:rFonts w:ascii="Poppins" w:cs="Poppins" w:eastAsia="Poppins" w:hAnsi="Poppins"/>
          <w:b/>
          <w:bCs/>
          <w:color w:val="F19A3E"/>
          <w:sz w:val="26"/>
          <w:szCs w:val="26"/>
        </w:rPr>
        <w:t xml:space="preserve">Distressing subjects</w:t>
      </w:r>
    </w:p>
    <w:p>
      <w:pPr>
        <w:spacing w:after="160" w:line="276"/>
      </w:pPr>
      <w:r>
        <w:rPr>
          <w:rFonts w:ascii="Roboto Flex" w:cs="Roboto Flex" w:eastAsia="Roboto Flex" w:hAnsi="Roboto Flex"/>
          <w:color w:val="1F2937"/>
          <w:sz w:val="22"/>
          <w:szCs w:val="22"/>
        </w:rPr>
        <w:t xml:space="preserve">Illness, bereavement, family emergencies, redundancy and personal crises are prohibited as pretexts. The marginal learning benefit does not justify the distress, and a programme that causes distress loses the goodwill it depends on.</w:t>
      </w:r>
    </w:p>
    <w:p>
      <w:pPr>
        <w:pStyle w:val="Heading2"/>
        <w:spacing w:after="160" w:before="300"/>
      </w:pPr>
      <w:r>
        <w:rPr>
          <w:rFonts w:ascii="Poppins" w:cs="Poppins" w:eastAsia="Poppins" w:hAnsi="Poppins"/>
          <w:b/>
          <w:bCs/>
          <w:color w:val="F19A3E"/>
          <w:sz w:val="26"/>
          <w:szCs w:val="26"/>
        </w:rPr>
        <w:t xml:space="preserve">Bribery and material inducement</w:t>
      </w:r>
    </w:p>
    <w:p>
      <w:pPr>
        <w:spacing w:after="160" w:line="276"/>
      </w:pPr>
      <w:r>
        <w:rPr>
          <w:rFonts w:ascii="Roboto Flex" w:cs="Roboto Flex" w:eastAsia="Roboto Flex" w:hAnsi="Roboto Flex"/>
          <w:color w:val="1F2937"/>
          <w:sz w:val="22"/>
          <w:szCs w:val="22"/>
        </w:rPr>
        <w:t xml:space="preserve">A scenario offering a material gain — a bonus, a gift, a refund — is realistic and may be used, but it must be treated as a measurement of collective exposure only. Results must be anonymised so that no individual can be identified, and no action of any kind may be taken against a person on the basis of such a scenario.</w:t>
      </w:r>
    </w:p>
    <w:p>
      <w:pPr>
        <w:pStyle w:val="Heading2"/>
        <w:spacing w:after="160" w:before="300"/>
      </w:pPr>
      <w:r>
        <w:rPr>
          <w:rFonts w:ascii="Poppins" w:cs="Poppins" w:eastAsia="Poppins" w:hAnsi="Poppins"/>
          <w:b/>
          <w:bCs/>
          <w:color w:val="F19A3E"/>
          <w:sz w:val="26"/>
          <w:szCs w:val="26"/>
        </w:rPr>
        <w:t xml:space="preserve">Third-party brands</w:t>
      </w:r>
    </w:p>
    <w:p>
      <w:pPr>
        <w:spacing w:after="160" w:line="276"/>
      </w:pPr>
      <w:r>
        <w:rPr>
          <w:rFonts w:ascii="Roboto Flex" w:cs="Roboto Flex" w:eastAsia="Roboto Flex" w:hAnsi="Roboto Flex"/>
          <w:color w:val="1F2937"/>
          <w:sz w:val="22"/>
          <w:szCs w:val="22"/>
        </w:rPr>
        <w:t xml:space="preserve">Logos, trademarks and the visual identity of real companies must not be used without permission. The risk is not theoretical: exercises impersonating well-known consumer brands have generated large volumes of confused customer contact to the real company and have led to legal action.</w:t>
      </w:r>
    </w:p>
    <w:p>
      <w:pPr>
        <w:pStyle w:val="Heading2"/>
        <w:spacing w:after="160" w:before="300"/>
      </w:pPr>
      <w:r>
        <w:rPr>
          <w:rFonts w:ascii="Poppins" w:cs="Poppins" w:eastAsia="Poppins" w:hAnsi="Poppins"/>
          <w:b/>
          <w:bCs/>
          <w:color w:val="F19A3E"/>
          <w:sz w:val="26"/>
          <w:szCs w:val="26"/>
        </w:rPr>
        <w:t xml:space="preserve">Timing</w:t>
      </w:r>
    </w:p>
    <w:p>
      <w:pPr>
        <w:spacing w:after="160" w:line="276"/>
      </w:pPr>
      <w:r>
        <w:rPr>
          <w:rFonts w:ascii="Roboto Flex" w:cs="Roboto Flex" w:eastAsia="Roboto Flex" w:hAnsi="Roboto Flex"/>
          <w:color w:val="1F2937"/>
          <w:sz w:val="22"/>
          <w:szCs w:val="22"/>
        </w:rPr>
        <w:t xml:space="preserve">Exercises must not be scheduled during organisational crises, redundancy or restructuring announcements, industrial relations negotiations, live security incidents, or major external events likely to cause anxiety. The Advisory Board exists largely to catch this, because the security team rarely has visibility of everything going on in the organisation.</w:t>
      </w:r>
    </w:p>
    <w:p>
      <w:pPr>
        <w:pStyle w:val="Heading1"/>
        <w:spacing w:after="200" w:before="360"/>
      </w:pPr>
      <w:r>
        <w:rPr>
          <w:rFonts w:ascii="Poppins" w:cs="Poppins" w:eastAsia="Poppins" w:hAnsi="Poppins"/>
          <w:b/>
          <w:bCs/>
          <w:color w:val="1A4E5A"/>
          <w:sz w:val="32"/>
          <w:szCs w:val="32"/>
        </w:rPr>
        <w:t xml:space="preserve">4  Treatment of Participants</w:t>
      </w:r>
    </w:p>
    <w:p>
      <w:pPr>
        <w:pStyle w:val="ListParagraph"/>
        <w:numPr>
          <w:ilvl w:val="0"/>
          <w:numId w:val="2"/>
        </w:numPr>
        <w:spacing w:after="100" w:line="276"/>
      </w:pPr>
      <w:r>
        <w:rPr>
          <w:rFonts w:ascii="Roboto Flex" w:cs="Roboto Flex" w:eastAsia="Roboto Flex" w:hAnsi="Roboto Flex"/>
          <w:color w:val="1F2937"/>
          <w:sz w:val="22"/>
          <w:szCs w:val="22"/>
        </w:rPr>
        <w:t xml:space="preserve">No individual sanction. Exercise results must not be used for performance appraisal, disciplinary action, or any decision affecting a person’s employment, unless a prior written policy explicitly permits it — and even then, take legal advice.</w:t>
      </w:r>
    </w:p>
    <w:p>
      <w:pPr>
        <w:pStyle w:val="ListParagraph"/>
        <w:numPr>
          <w:ilvl w:val="0"/>
          <w:numId w:val="2"/>
        </w:numPr>
        <w:spacing w:after="100" w:line="276"/>
      </w:pPr>
      <w:r>
        <w:rPr>
          <w:rFonts w:ascii="Roboto Flex" w:cs="Roboto Flex" w:eastAsia="Roboto Flex" w:hAnsi="Roboto Flex"/>
          <w:color w:val="1F2937"/>
          <w:sz w:val="22"/>
          <w:szCs w:val="22"/>
        </w:rPr>
        <w:t xml:space="preserve">No naming. Individuals who fail an exercise are not named in any report circulated beyond the &lt;SECURITY TEAM&gt; and, where applicable, their own line manager acting under the rules of the data handling notice.</w:t>
      </w:r>
    </w:p>
    <w:p>
      <w:pPr>
        <w:pStyle w:val="ListParagraph"/>
        <w:numPr>
          <w:ilvl w:val="0"/>
          <w:numId w:val="2"/>
        </w:numPr>
        <w:spacing w:after="100" w:line="276"/>
      </w:pPr>
      <w:r>
        <w:rPr>
          <w:rFonts w:ascii="Roboto Flex" w:cs="Roboto Flex" w:eastAsia="Roboto Flex" w:hAnsi="Roboto Flex"/>
          <w:color w:val="1F2937"/>
          <w:sz w:val="22"/>
          <w:szCs w:val="22"/>
        </w:rPr>
        <w:t xml:space="preserve">Immediate feedback. Anyone who interacts with a simulated message receives immediate, constructive feedback explaining what the clues were.</w:t>
      </w:r>
    </w:p>
    <w:p>
      <w:pPr>
        <w:pStyle w:val="ListParagraph"/>
        <w:numPr>
          <w:ilvl w:val="0"/>
          <w:numId w:val="2"/>
        </w:numPr>
        <w:spacing w:after="100" w:line="276"/>
      </w:pPr>
      <w:r>
        <w:rPr>
          <w:rFonts w:ascii="Roboto Flex" w:cs="Roboto Flex" w:eastAsia="Roboto Flex" w:hAnsi="Roboto Flex"/>
          <w:color w:val="1F2937"/>
          <w:sz w:val="22"/>
          <w:szCs w:val="22"/>
        </w:rPr>
        <w:t xml:space="preserve">A click is assumed to be a mistake. People are entitled to make mistakes; the programme exists to reduce how often circumstances lead them to.</w:t>
      </w:r>
    </w:p>
    <w:p>
      <w:pPr>
        <w:pStyle w:val="ListParagraph"/>
        <w:numPr>
          <w:ilvl w:val="0"/>
          <w:numId w:val="2"/>
        </w:numPr>
        <w:spacing w:after="100" w:line="276"/>
      </w:pPr>
      <w:r>
        <w:rPr>
          <w:rFonts w:ascii="Roboto Flex" w:cs="Roboto Flex" w:eastAsia="Roboto Flex" w:hAnsi="Roboto Flex"/>
          <w:color w:val="1F2937"/>
          <w:sz w:val="22"/>
          <w:szCs w:val="22"/>
        </w:rPr>
        <w:t xml:space="preserve">Reporting is never penalised. Reporting a message that turns out to be legitimate is a good outcome, not a false alarm, and must be acknowledged as such.</w:t>
      </w:r>
    </w:p>
    <w:p>
      <w:pPr>
        <w:pStyle w:val="Heading1"/>
        <w:spacing w:after="200" w:before="360"/>
      </w:pPr>
      <w:r>
        <w:rPr>
          <w:rFonts w:ascii="Poppins" w:cs="Poppins" w:eastAsia="Poppins" w:hAnsi="Poppins"/>
          <w:b/>
          <w:bCs/>
          <w:color w:val="1A4E5A"/>
          <w:sz w:val="32"/>
          <w:szCs w:val="32"/>
        </w:rPr>
        <w:t xml:space="preserve">5  Transparency</w:t>
      </w:r>
    </w:p>
    <w:p>
      <w:pPr>
        <w:spacing w:after="160" w:line="276"/>
      </w:pPr>
      <w:r>
        <w:rPr>
          <w:rFonts w:ascii="Roboto Flex" w:cs="Roboto Flex" w:eastAsia="Roboto Flex" w:hAnsi="Roboto Flex"/>
          <w:color w:val="1F2937"/>
          <w:sz w:val="22"/>
          <w:szCs w:val="22"/>
        </w:rPr>
        <w:t xml:space="preserve">The existence of the programme, its purpose, what is measured, who can see the results and how long data is kept must be communicated to all staff before the first exercise and refreshed at least annually. This code of ethics must be made available to all employees or, at minimum, to their representatives. Transparency does not undermine the exercises: people know the programme exists and still click, because that is how phishing works.</w:t>
      </w:r>
    </w:p>
    <w:p>
      <w:pPr>
        <w:pStyle w:val="Heading1"/>
        <w:spacing w:after="200" w:before="360"/>
      </w:pPr>
      <w:r>
        <w:rPr>
          <w:rFonts w:ascii="Poppins" w:cs="Poppins" w:eastAsia="Poppins" w:hAnsi="Poppins"/>
          <w:b/>
          <w:bCs/>
          <w:color w:val="1A4E5A"/>
          <w:sz w:val="32"/>
          <w:szCs w:val="32"/>
        </w:rPr>
        <w:t xml:space="preserve">6  Governance and Review</w:t>
      </w:r>
    </w:p>
    <w:p>
      <w:pPr>
        <w:spacing w:after="160" w:line="276"/>
      </w:pPr>
      <w:r>
        <w:rPr>
          <w:rFonts w:ascii="Roboto Flex" w:cs="Roboto Flex" w:eastAsia="Roboto Flex" w:hAnsi="Roboto Flex"/>
          <w:color w:val="1F2937"/>
          <w:sz w:val="22"/>
          <w:szCs w:val="22"/>
        </w:rPr>
        <w:t xml:space="preserve">Every scenario is reviewed and approved by the Phishing Advisory Board before it is sent. This code is reviewed annually by the Board and approved by &lt;CISO / SECURITY COMMITTEE&gt;. Any exception requires documented Board approval.</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DC" w:sz="4" w:space="4"/>
      </w:pBdr>
      <w:tabs>
        <w:tab w:val="right" w:pos="9026"/>
      </w:tabs>
    </w:pPr>
    <w:r>
      <w:rPr>
        <w:rFonts w:ascii="Roboto Flex" w:cs="Roboto Flex" w:eastAsia="Roboto Flex" w:hAnsi="Roboto Flex"/>
        <w:color w:val="6B7280"/>
        <w:sz w:val="16"/>
        <w:szCs w:val="16"/>
      </w:rPr>
      <w:t xml:space="preserve">Template from “Get Phishing Under Control” — Emmanuel Nicaise · getphishingundercontrol.com</w:t>
    </w:r>
    <w:r>
      <w:rPr>
        <w:rFonts w:ascii="Roboto Flex" w:cs="Roboto Flex" w:eastAsia="Roboto Flex" w:hAnsi="Roboto Flex"/>
        <w:color w:val="6B7280"/>
        <w:sz w:val="16"/>
        <w:szCs w:val="16"/>
      </w:rPr>
      <w:t xml:space="preserve">	</w:t>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Flex" w:cs="Roboto Flex" w:eastAsia="Roboto Flex" w:hAnsi="Roboto Flex"/>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2026-08-01T13:43:18.301Z</dcterms:created>
  <dcterms:modified xsi:type="dcterms:W3CDTF">2026-08-01T13:43:18.301Z</dcterms:modified>
</cp:coreProperties>
</file>

<file path=docProps/custom.xml><?xml version="1.0" encoding="utf-8"?>
<Properties xmlns="http://schemas.openxmlformats.org/officeDocument/2006/custom-properties" xmlns:vt="http://schemas.openxmlformats.org/officeDocument/2006/docPropsVTypes"/>
</file>